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R3-256622</w:t>
      </w:r>
    </w:p>
    <w:p w14:paraId="511528C7">
      <w:pPr>
        <w:pStyle w:val="3"/>
        <w:rPr>
          <w:rFonts w:eastAsia="Yu Mincho"/>
          <w:bCs/>
          <w:sz w:val="24"/>
        </w:rPr>
      </w:pPr>
      <w:r>
        <w:rPr>
          <w:rFonts w:hint="eastAsia" w:eastAsia="Yu Mincho"/>
          <w:bCs/>
          <w:sz w:val="24"/>
        </w:rPr>
        <w:t>Prague, Czech Republic, Oct 13 – 17, 2025</w:t>
      </w:r>
    </w:p>
    <w:p w14:paraId="47989A0C">
      <w:pPr>
        <w:pStyle w:val="92"/>
        <w:tabs>
          <w:tab w:val="left" w:pos="1985"/>
        </w:tabs>
        <w:rPr>
          <w:rFonts w:cs="Arial"/>
          <w:b/>
          <w:bCs/>
          <w:sz w:val="24"/>
          <w:lang w:val="en-US"/>
        </w:rPr>
      </w:pPr>
    </w:p>
    <w:p w14:paraId="33CA47EA">
      <w:pPr>
        <w:pStyle w:val="92"/>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.2</w:t>
      </w:r>
      <w:r>
        <w:rPr>
          <w:rFonts w:hint="eastAsia" w:eastAsia="宋体" w:cs="Arial"/>
          <w:b/>
          <w:bCs/>
          <w:sz w:val="24"/>
          <w:lang w:val="en-US" w:eastAsia="zh-CN"/>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General principles and requirements on RAN architecture</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5D810A54">
      <w:pPr>
        <w:spacing w:before="100" w:beforeAutospacing="1" w:after="100" w:afterAutospacing="1"/>
        <w:rPr>
          <w:lang w:val="en-US"/>
        </w:rPr>
      </w:pPr>
      <w:r>
        <w:rPr>
          <w:lang w:val="en-US"/>
        </w:rPr>
        <w:t xml:space="preserve">In RAN#106, the RAN Plenary approved a study item on </w:t>
      </w:r>
      <w:r>
        <w:rPr>
          <w:i/>
          <w:iCs/>
          <w:lang w:val="en-US"/>
        </w:rPr>
        <w:t>“Study on 6G Scenarios and Requirements”</w:t>
      </w:r>
      <w:r>
        <w:rPr>
          <w:lang w:val="en-US"/>
        </w:rPr>
        <w:t xml:space="preserve"> [1]. In RAN#108, a RAN working group study item on </w:t>
      </w:r>
      <w:r>
        <w:rPr>
          <w:i/>
          <w:iCs/>
          <w:lang w:val="en-US"/>
        </w:rPr>
        <w:t>“Study on 6G Radio”</w:t>
      </w:r>
      <w:r>
        <w:rPr>
          <w:lang w:val="en-US"/>
        </w:rPr>
        <w:t xml:space="preserve"> [2] was approved. During RAN#109, RAN further discussed requirements related to architecture and migration, 6G device types, ISAC, and other aspects.</w:t>
      </w:r>
    </w:p>
    <w:p w14:paraId="3A761C8C">
      <w:pPr>
        <w:spacing w:before="100" w:beforeAutospacing="1" w:after="100" w:afterAutospacing="1"/>
        <w:rPr>
          <w:sz w:val="24"/>
          <w:szCs w:val="24"/>
          <w:lang w:val="en-US"/>
        </w:rPr>
      </w:pPr>
      <w:r>
        <w:rPr>
          <w:lang w:val="en-US"/>
        </w:rPr>
        <w:t>In this contribution, we discuss general principles and guidance for 6G, and outline initial considerations for the 6G RAN architecture from a RAN3 perspective. The aim is to identify areas for potential evolution and provide a basis for discussion in collaboration with SA2. Given the further development of various verticals using 6G as a platform, a significant challenge lies in inter-working group coordination. We therefore further discuss this aspect, using integrated sensing and communication (ISAC) as an illustrative example</w:t>
      </w:r>
      <w:r>
        <w:rPr>
          <w:sz w:val="24"/>
          <w:szCs w:val="24"/>
          <w:lang w:val="en-US"/>
        </w:rPr>
        <w:t>.</w:t>
      </w:r>
    </w:p>
    <w:p w14:paraId="05661A37">
      <w:pPr>
        <w:pStyle w:val="2"/>
      </w:pPr>
      <w:r>
        <w:t>2</w:t>
      </w:r>
      <w:r>
        <w:tab/>
      </w:r>
      <w:r>
        <w:t>Discussion</w:t>
      </w:r>
    </w:p>
    <w:p w14:paraId="55FF172F">
      <w:pPr>
        <w:pStyle w:val="4"/>
        <w:rPr>
          <w:rFonts w:hint="default" w:ascii="Arial" w:hAnsi="Arial" w:cs="Arial"/>
          <w:b/>
          <w:bCs/>
          <w:lang w:val="en-US" w:eastAsia="zh-CN"/>
        </w:rPr>
      </w:pPr>
      <w:r>
        <w:rPr>
          <w:rFonts w:hint="default" w:ascii="Arial" w:hAnsi="Arial" w:cs="Arial"/>
          <w:b/>
          <w:bCs/>
          <w:lang w:val="en-US" w:eastAsia="zh-CN"/>
        </w:rPr>
        <w:t xml:space="preserve">2.1 </w:t>
      </w:r>
      <w:r>
        <w:rPr>
          <w:rFonts w:hint="default" w:ascii="Arial" w:hAnsi="Arial" w:cs="Arial"/>
          <w:b/>
          <w:bCs/>
          <w:lang w:val="en-US" w:eastAsia="zh-CN"/>
        </w:rPr>
        <w:tab/>
      </w:r>
      <w:r>
        <w:rPr>
          <w:rFonts w:hint="default" w:ascii="Arial" w:hAnsi="Arial" w:cs="Arial"/>
          <w:b/>
          <w:bCs/>
          <w:lang w:val="en-US" w:eastAsia="zh-CN"/>
        </w:rPr>
        <w:t>General principles/guidance for 6G</w:t>
      </w:r>
    </w:p>
    <w:p w14:paraId="223AE1A5">
      <w:pPr>
        <w:rPr>
          <w:lang w:val="en-US"/>
        </w:rPr>
      </w:pPr>
      <w:r>
        <w:t>Based on the discussion in RAN Plenary, the common understanding among companies is that the system design for 6G should be simplified as much as possible. In particular, a common design should be used to meet diverse service requirements, while avoiding multiple options for the same functionalities. In the development of 5G, multiple options were often introduced as compromises between companies; however, these options increased the standards workload, added complexity for both UE and network implementations, and risked market fragmentation—while many of them were never deployed in practice. Therefore, an important principle defined in the 6G WG SID is that 6G shall aim to simplify the system design by adopting common solutions wherever feasible, and by ensuring that power saving is addressed for both the network and the device.</w:t>
      </w:r>
    </w:p>
    <w:p w14:paraId="16601282">
      <w:pPr>
        <w:spacing w:before="240" w:after="240"/>
        <w:ind w:left="258" w:leftChars="129"/>
        <w:rPr>
          <w:rFonts w:eastAsia="Times New Roman"/>
          <w:b/>
          <w:bCs/>
        </w:rPr>
      </w:pPr>
      <w:r>
        <w:rPr>
          <w:rFonts w:eastAsia="Times New Roman"/>
          <w:b/>
          <w:bCs/>
        </w:rPr>
        <w:t>Observation 1: In the development of 5G, multiple options for the same feature were often introduced as compromises between companies. This approach increased the standards workload, added complexity for both UE and network implementations, and led to market fragmentation.</w:t>
      </w:r>
    </w:p>
    <w:p w14:paraId="5B6A314A">
      <w:pPr>
        <w:spacing w:before="240" w:after="240"/>
        <w:rPr>
          <w:rFonts w:eastAsia="Times New Roman"/>
        </w:rPr>
      </w:pPr>
      <w:r>
        <w:rPr>
          <w:rFonts w:eastAsia="Times New Roman"/>
        </w:rPr>
        <w:t xml:space="preserve">As addressed in [1] RP-252912, the 6G study shall </w:t>
      </w:r>
      <w:r>
        <w:rPr>
          <w:rFonts w:eastAsia="Times New Roman"/>
          <w:i/>
          <w:iCs/>
        </w:rPr>
        <w:t>“strive at dimensioning an appropriate set of functionalities, minimizing the adoption of multiple options for the same functionality, focusing on practical user experience.”</w:t>
      </w:r>
      <w:r>
        <w:rPr>
          <w:rFonts w:eastAsia="Times New Roman"/>
        </w:rPr>
        <w:t xml:space="preserve"> This principle guides 6G towards simplification, reduced complexity, and improved consistency across implementations.</w:t>
      </w:r>
    </w:p>
    <w:p w14:paraId="221867A2">
      <w:pPr>
        <w:ind w:left="258" w:leftChars="129"/>
        <w:rPr>
          <w:rFonts w:eastAsia="Times New Roman"/>
          <w:b/>
          <w:bCs/>
          <w:lang w:val="en-US"/>
        </w:rPr>
      </w:pPr>
      <w:r>
        <w:rPr>
          <w:rFonts w:eastAsia="Times New Roman"/>
          <w:b/>
          <w:bCs/>
          <w:lang w:val="en-US"/>
        </w:rPr>
        <w:t>Proposal 1: In the 6G RAN3 study, RAN3 should aim to simplify the system design for 6G</w:t>
      </w:r>
    </w:p>
    <w:p w14:paraId="51708B23">
      <w:pPr>
        <w:numPr>
          <w:ilvl w:val="0"/>
          <w:numId w:val="4"/>
        </w:numPr>
        <w:rPr>
          <w:rFonts w:eastAsia="Times New Roman"/>
          <w:b/>
          <w:bCs/>
          <w:lang w:val="en-US"/>
        </w:rPr>
      </w:pPr>
      <w:r>
        <w:rPr>
          <w:rFonts w:eastAsia="Times New Roman"/>
          <w:b/>
          <w:bCs/>
          <w:lang w:val="en-US"/>
        </w:rPr>
        <w:t>Adopt a common design to meet different service requirements as much as possible.</w:t>
      </w:r>
    </w:p>
    <w:p w14:paraId="75D77F36">
      <w:pPr>
        <w:numPr>
          <w:ilvl w:val="0"/>
          <w:numId w:val="4"/>
        </w:numPr>
        <w:rPr>
          <w:rFonts w:eastAsia="Times New Roman"/>
          <w:b/>
          <w:bCs/>
          <w:lang w:val="en-US"/>
        </w:rPr>
      </w:pPr>
      <w:r>
        <w:rPr>
          <w:rFonts w:eastAsia="Times New Roman"/>
          <w:b/>
          <w:bCs/>
          <w:lang w:val="en-US"/>
        </w:rPr>
        <w:t>Avoid introducing multiple options for the same functionalities.</w:t>
      </w:r>
    </w:p>
    <w:p w14:paraId="27B271F9">
      <w:pPr>
        <w:numPr>
          <w:ilvl w:val="0"/>
          <w:numId w:val="4"/>
        </w:numPr>
        <w:rPr>
          <w:lang w:val="en-US" w:eastAsia="zh-CN"/>
        </w:rPr>
      </w:pPr>
      <w:r>
        <w:rPr>
          <w:rFonts w:eastAsia="Times New Roman"/>
          <w:b/>
          <w:bCs/>
          <w:lang w:val="en-US"/>
        </w:rPr>
        <w:t>Ensure that supporting multiple options is not taken as a compromise way forward.</w:t>
      </w:r>
    </w:p>
    <w:p w14:paraId="26A31435">
      <w:pPr>
        <w:pStyle w:val="4"/>
        <w:rPr>
          <w:rFonts w:hint="default" w:ascii="Arial" w:hAnsi="Arial" w:cs="Arial"/>
          <w:b/>
          <w:bCs/>
          <w:lang w:val="en-US" w:eastAsia="zh-CN"/>
        </w:rPr>
      </w:pPr>
      <w:r>
        <w:rPr>
          <w:rFonts w:hint="default" w:ascii="Arial" w:hAnsi="Arial" w:cs="Arial"/>
          <w:b/>
          <w:bCs/>
          <w:lang w:val="en-US" w:eastAsia="zh-CN"/>
        </w:rPr>
        <w:t xml:space="preserve">2.2 </w:t>
      </w:r>
      <w:r>
        <w:rPr>
          <w:rFonts w:hint="default" w:ascii="Arial" w:hAnsi="Arial" w:cs="Arial"/>
          <w:b/>
          <w:bCs/>
          <w:lang w:val="en-US" w:eastAsia="zh-CN"/>
        </w:rPr>
        <w:tab/>
      </w:r>
      <w:r>
        <w:rPr>
          <w:rFonts w:hint="default" w:ascii="Arial" w:hAnsi="Arial" w:cs="Arial"/>
          <w:b/>
          <w:bCs/>
          <w:lang w:val="en-US" w:eastAsia="zh-CN"/>
        </w:rPr>
        <w:t xml:space="preserve">Architectural Considerations </w:t>
      </w:r>
      <w:bookmarkStart w:id="0" w:name="_qdapah49qjcp" w:colFirst="0" w:colLast="0"/>
      <w:bookmarkEnd w:id="0"/>
      <w:r>
        <w:rPr>
          <w:rFonts w:hint="default" w:ascii="Arial" w:hAnsi="Arial" w:cs="Arial"/>
          <w:b/>
          <w:bCs/>
          <w:lang w:val="en-US" w:eastAsia="zh-CN"/>
        </w:rPr>
        <w:t>for 6G</w:t>
      </w:r>
    </w:p>
    <w:p w14:paraId="360560CB">
      <w:pPr>
        <w:pStyle w:val="5"/>
        <w:spacing w:before="0"/>
        <w:rPr>
          <w:rFonts w:hint="default" w:ascii="Arial" w:hAnsi="Arial" w:eastAsia="Times New Roman" w:cs="Arial"/>
          <w:b/>
          <w:bCs/>
          <w:sz w:val="30"/>
          <w:szCs w:val="30"/>
          <w:lang w:val="en-US"/>
        </w:rPr>
      </w:pPr>
      <w:r>
        <w:rPr>
          <w:rFonts w:hint="default" w:ascii="Arial" w:hAnsi="Arial" w:eastAsia="Times New Roman" w:cs="Arial"/>
          <w:b/>
          <w:bCs/>
          <w:sz w:val="30"/>
          <w:szCs w:val="30"/>
          <w:lang w:val="en-US"/>
        </w:rPr>
        <w:t xml:space="preserve">2.2.1 </w:t>
      </w:r>
      <w:r>
        <w:rPr>
          <w:rStyle w:val="178"/>
          <w:rFonts w:hint="default" w:ascii="Arial" w:hAnsi="Arial" w:cs="Arial"/>
          <w:b/>
          <w:bCs/>
          <w:color w:val="auto"/>
          <w:sz w:val="30"/>
          <w:szCs w:val="30"/>
        </w:rPr>
        <w:t>Cloud-Native Realization</w:t>
      </w:r>
    </w:p>
    <w:p w14:paraId="670F6A39">
      <w:pPr>
        <w:rPr>
          <w:lang w:val="en-US"/>
        </w:rPr>
      </w:pPr>
      <w:r>
        <w:rPr>
          <w:lang w:val="en-US"/>
        </w:rPr>
        <w:t>Virtualization and cloud-based hosting of RAN functions have already been introduced in 5G (e.g., vRAN and Cloud-RAN). In the 6G timeframe, additional considerations arise on how RAN3 procedures and reference points can support:</w:t>
      </w:r>
    </w:p>
    <w:p w14:paraId="556B06B0">
      <w:pPr>
        <w:numPr>
          <w:ilvl w:val="0"/>
          <w:numId w:val="5"/>
        </w:numPr>
        <w:rPr>
          <w:rFonts w:eastAsia="Times New Roman"/>
          <w:bCs/>
          <w:color w:val="000000"/>
          <w:lang w:val="en-US"/>
        </w:rPr>
      </w:pPr>
      <w:r>
        <w:rPr>
          <w:rFonts w:eastAsia="Times New Roman"/>
          <w:bCs/>
          <w:color w:val="000000"/>
          <w:lang w:val="en-US"/>
        </w:rPr>
        <w:t>distribution of RAN functions not only at CU/DU boundaries but also at sub-function or per-slice granularity,</w:t>
      </w:r>
    </w:p>
    <w:p w14:paraId="5D6C5FE4">
      <w:pPr>
        <w:numPr>
          <w:ilvl w:val="0"/>
          <w:numId w:val="5"/>
        </w:numPr>
        <w:rPr>
          <w:rFonts w:eastAsia="Times New Roman"/>
          <w:bCs/>
          <w:color w:val="000000"/>
          <w:lang w:val="en-US"/>
        </w:rPr>
      </w:pPr>
      <w:r>
        <w:rPr>
          <w:rFonts w:eastAsia="Times New Roman"/>
          <w:bCs/>
          <w:color w:val="000000"/>
        </w:rPr>
        <w:t>coordination with orchestration frameworks that span RAN, transport, and core domains, ensuring that RAN3 procedures remain valid when functions are relocated or scaled as part of end-to-end resource management</w:t>
      </w:r>
      <w:r>
        <w:rPr>
          <w:rFonts w:eastAsia="Times New Roman"/>
          <w:bCs/>
          <w:color w:val="000000"/>
          <w:lang w:val="en-US"/>
        </w:rPr>
        <w:t>operation in heterogeneous computing environments, ensuring that procedures remain valid regardless of whether functions are executed on general-purpose processors or hardware-accelerated platforms, and</w:t>
      </w:r>
    </w:p>
    <w:p w14:paraId="721E04B3">
      <w:pPr>
        <w:numPr>
          <w:ilvl w:val="0"/>
          <w:numId w:val="5"/>
        </w:numPr>
        <w:rPr>
          <w:rFonts w:eastAsia="Times New Roman"/>
          <w:bCs/>
          <w:color w:val="000000"/>
          <w:lang w:val="en-US"/>
        </w:rPr>
      </w:pPr>
      <w:r>
        <w:rPr>
          <w:rFonts w:eastAsia="Times New Roman"/>
          <w:bCs/>
          <w:color w:val="000000"/>
          <w:lang w:val="en-US"/>
        </w:rPr>
        <w:t>dynamic scaling and relocation of RAN functions, with procedures designed to remain valid even when scaling is applied at sub-function or per-slice/QFI granularity.</w:t>
      </w:r>
    </w:p>
    <w:p w14:paraId="21573F92">
      <w:pPr>
        <w:ind w:left="720"/>
        <w:rPr>
          <w:rFonts w:eastAsia="Times New Roman"/>
          <w:bCs/>
          <w:color w:val="000000"/>
          <w:lang w:val="en-US"/>
        </w:rPr>
      </w:pPr>
    </w:p>
    <w:p w14:paraId="3265C44C">
      <w:pPr>
        <w:spacing w:before="240" w:after="240"/>
        <w:rPr>
          <w:rFonts w:eastAsia="Times New Roman"/>
          <w:b/>
          <w:color w:val="000000"/>
          <w:lang w:val="en-US"/>
        </w:rPr>
      </w:pPr>
      <w:r>
        <w:rPr>
          <w:rFonts w:eastAsia="Times New Roman"/>
          <w:b/>
          <w:color w:val="000000"/>
          <w:lang w:val="en-US"/>
        </w:rPr>
        <w:t>Observation 2 (Cloud-based): Cloud-RAN and vRAN deployments have already been addressed in 5G, primarily at CU/DU split boundaries. While this provides virtualization and flexible hosting, current RAN3 procedures are largely designed around coarse-grained distribution and assume relatively static placement of functions.</w:t>
      </w:r>
    </w:p>
    <w:p w14:paraId="0528537B">
      <w:pPr>
        <w:spacing w:before="240" w:after="240"/>
        <w:rPr>
          <w:rFonts w:eastAsia="Times New Roman"/>
          <w:b/>
          <w:color w:val="000000"/>
          <w:lang w:val="en-US"/>
        </w:rPr>
      </w:pPr>
      <w:r>
        <w:rPr>
          <w:rFonts w:eastAsia="Times New Roman"/>
          <w:b/>
          <w:color w:val="000000"/>
          <w:lang w:val="en-US"/>
        </w:rPr>
        <w:t>Proposal 2 (Cloud-based): The RAN architecture should support deployment of functions in a cloud-based environment, including finer-grained distribution, operation on heterogeneous computing platforms, dynamic scaling and relocation of functions, and coordination with multi-domain orchestration.</w:t>
      </w:r>
    </w:p>
    <w:p w14:paraId="00000016">
      <w:pPr>
        <w:pStyle w:val="5"/>
        <w:spacing w:before="280"/>
        <w:rPr>
          <w:rFonts w:hint="default" w:ascii="Arial" w:hAnsi="Arial" w:eastAsia="Times New Roman" w:cs="Arial"/>
          <w:b/>
          <w:color w:val="000000"/>
          <w:sz w:val="30"/>
          <w:szCs w:val="30"/>
        </w:rPr>
      </w:pPr>
      <w:bookmarkStart w:id="1" w:name="_18dcg1hxensr" w:colFirst="0" w:colLast="0"/>
      <w:bookmarkEnd w:id="1"/>
      <w:r>
        <w:rPr>
          <w:rFonts w:hint="default" w:ascii="Arial" w:hAnsi="Arial" w:eastAsia="Times New Roman" w:cs="Arial"/>
          <w:b/>
          <w:color w:val="000000"/>
          <w:sz w:val="30"/>
          <w:szCs w:val="30"/>
        </w:rPr>
        <w:t>2.2.2 AI/ML-Native Operation</w:t>
      </w:r>
    </w:p>
    <w:p w14:paraId="7ADBA346">
      <w:pPr>
        <w:spacing w:before="240" w:after="240"/>
        <w:rPr>
          <w:rFonts w:eastAsia="Times New Roman"/>
          <w:lang w:val="en-US"/>
        </w:rPr>
      </w:pPr>
      <w:r>
        <w:rPr>
          <w:rFonts w:eastAsia="Times New Roman"/>
          <w:lang w:val="en-US"/>
        </w:rPr>
        <w:t>The SID identifies AI/ML as a key enabler for 6G. AI/ML functions are expected to become integral to 6G RAN operation, supporting resource allocation, QoS adaptation, mobility prediction, and energy saving. For these functions, RAN entities may need to exchange additional context across reference points. RAN3’s role is to ensure that reference points and procedures remain capable of supporting AI/ML-native operation, without prescribing where or how AI is executed.</w:t>
      </w:r>
    </w:p>
    <w:p w14:paraId="5713C0EB">
      <w:pPr>
        <w:spacing w:before="240" w:after="240"/>
        <w:rPr>
          <w:rFonts w:eastAsia="Times New Roman"/>
          <w:lang w:val="en-US"/>
        </w:rPr>
      </w:pPr>
      <w:r>
        <w:rPr>
          <w:rFonts w:eastAsia="Times New Roman"/>
          <w:lang w:val="en-US"/>
        </w:rPr>
        <w:t>From a RAN3 perspective, reference points and functional split interfaces may need to support:</w:t>
      </w:r>
    </w:p>
    <w:p w14:paraId="2BDCE764">
      <w:pPr>
        <w:numPr>
          <w:ilvl w:val="0"/>
          <w:numId w:val="6"/>
        </w:numPr>
        <w:spacing w:before="240" w:after="240"/>
        <w:rPr>
          <w:rFonts w:eastAsia="Times New Roman"/>
          <w:lang w:val="en-US"/>
        </w:rPr>
      </w:pPr>
      <w:r>
        <w:rPr>
          <w:rFonts w:eastAsia="Times New Roman"/>
          <w:lang w:val="en-US"/>
        </w:rPr>
        <w:t>AI/ML-assisted functions such as resource allocation, mobility optimization, and QoS adaptation,</w:t>
      </w:r>
    </w:p>
    <w:p w14:paraId="54A5B002">
      <w:pPr>
        <w:numPr>
          <w:ilvl w:val="0"/>
          <w:numId w:val="6"/>
        </w:numPr>
        <w:spacing w:before="240" w:after="240"/>
        <w:rPr>
          <w:rFonts w:eastAsia="Times New Roman"/>
          <w:lang w:val="en-US"/>
        </w:rPr>
      </w:pPr>
      <w:r>
        <w:rPr>
          <w:rFonts w:eastAsia="Times New Roman"/>
          <w:lang w:val="en-US"/>
        </w:rPr>
        <w:t>signaling support for AI/ML-related input and output information across nodes,</w:t>
      </w:r>
    </w:p>
    <w:p w14:paraId="735E1DE8">
      <w:pPr>
        <w:numPr>
          <w:ilvl w:val="0"/>
          <w:numId w:val="6"/>
        </w:numPr>
        <w:spacing w:before="240" w:after="240"/>
        <w:rPr>
          <w:rFonts w:eastAsia="Times New Roman"/>
          <w:lang w:val="en-US"/>
        </w:rPr>
      </w:pPr>
      <w:r>
        <w:rPr>
          <w:rFonts w:eastAsia="Times New Roman"/>
          <w:lang w:val="en-US"/>
        </w:rPr>
        <w:t>capability indication, enabling nodes to signal support for AI/ML-assisted functions,</w:t>
      </w:r>
    </w:p>
    <w:p w14:paraId="7CAE3DAC">
      <w:pPr>
        <w:numPr>
          <w:ilvl w:val="0"/>
          <w:numId w:val="6"/>
        </w:numPr>
        <w:spacing w:before="240" w:after="240"/>
        <w:rPr>
          <w:rFonts w:eastAsia="Times New Roman"/>
          <w:lang w:val="en-US"/>
        </w:rPr>
      </w:pPr>
      <w:r>
        <w:rPr>
          <w:rFonts w:eastAsia="Times New Roman"/>
          <w:lang w:val="en-US"/>
        </w:rPr>
        <w:t>scalable, low-latency data plane operation, to handle massive real-time data collection, processing, and distribution required by AI/ML,</w:t>
      </w:r>
    </w:p>
    <w:p w14:paraId="4380DB02">
      <w:pPr>
        <w:numPr>
          <w:ilvl w:val="0"/>
          <w:numId w:val="6"/>
        </w:numPr>
        <w:spacing w:before="240" w:after="240"/>
        <w:rPr>
          <w:rFonts w:eastAsia="Times New Roman"/>
          <w:lang w:val="en-US"/>
        </w:rPr>
      </w:pPr>
      <w:r>
        <w:rPr>
          <w:rFonts w:eastAsia="Times New Roman"/>
          <w:lang w:val="en-US"/>
        </w:rPr>
        <w:t>fallback handling to legacy procedures if AI/ML models are unavailable or not supported, and</w:t>
      </w:r>
    </w:p>
    <w:p w14:paraId="415EA861">
      <w:pPr>
        <w:numPr>
          <w:ilvl w:val="0"/>
          <w:numId w:val="6"/>
        </w:numPr>
        <w:spacing w:before="240" w:after="240"/>
        <w:rPr>
          <w:rFonts w:eastAsia="Times New Roman"/>
          <w:lang w:val="en-US"/>
        </w:rPr>
      </w:pPr>
      <w:r>
        <w:rPr>
          <w:rFonts w:eastAsia="Times New Roman"/>
          <w:lang w:val="en-US"/>
        </w:rPr>
        <w:t>consistency across distributed deployments, ensuring coordinated behavior for AI/ML-assisted functions.</w:t>
      </w:r>
    </w:p>
    <w:p w14:paraId="676E641B">
      <w:pPr>
        <w:spacing w:before="240" w:after="240"/>
        <w:rPr>
          <w:rFonts w:eastAsia="Times New Roman"/>
          <w:b/>
          <w:bCs/>
          <w:lang w:val="en-US"/>
        </w:rPr>
      </w:pPr>
      <w:r>
        <w:rPr>
          <w:rFonts w:eastAsia="Times New Roman"/>
          <w:b/>
          <w:bCs/>
          <w:lang w:val="en-US"/>
        </w:rPr>
        <w:t>Observation 3 (AI/ML): In NR, initial AI/ML support has been studied (e.g., AI-assisted CSI feedback, AI-based mobility optimization, and the RAN3 AI/ML framework). However, such support remains function-specific and does not provide generalized or native mechanisms across reference points.</w:t>
      </w:r>
    </w:p>
    <w:p w14:paraId="00000022">
      <w:pPr>
        <w:spacing w:before="240" w:after="240"/>
        <w:rPr>
          <w:rFonts w:eastAsia="Times New Roman"/>
          <w:b/>
          <w:bCs/>
          <w:lang w:val="en-US"/>
        </w:rPr>
      </w:pPr>
      <w:r>
        <w:rPr>
          <w:rFonts w:eastAsia="Times New Roman"/>
          <w:b/>
          <w:bCs/>
          <w:lang w:val="en-US"/>
        </w:rPr>
        <w:t>Proposal 3 (AI/ML): The RAN architecture should support AI/ML-native operation in order to enable consistent and interoperable use of AI/ML across RAN functions.</w:t>
      </w:r>
    </w:p>
    <w:p w14:paraId="2CC2C83A">
      <w:pPr>
        <w:pStyle w:val="5"/>
        <w:spacing w:before="280"/>
        <w:rPr>
          <w:rFonts w:hint="default" w:ascii="Arial" w:hAnsi="Arial" w:eastAsia="Times New Roman" w:cs="Arial"/>
          <w:sz w:val="30"/>
          <w:szCs w:val="30"/>
        </w:rPr>
      </w:pPr>
      <w:bookmarkStart w:id="2" w:name="_7p0t6cnczi0z" w:colFirst="0" w:colLast="0"/>
      <w:bookmarkEnd w:id="2"/>
      <w:r>
        <w:rPr>
          <w:rFonts w:hint="default" w:ascii="Arial" w:hAnsi="Arial" w:eastAsia="Times New Roman" w:cs="Arial"/>
          <w:b/>
          <w:color w:val="000000"/>
          <w:sz w:val="30"/>
          <w:szCs w:val="30"/>
        </w:rPr>
        <w:t>2.2.3 Evolution of Functional Splits</w:t>
      </w:r>
    </w:p>
    <w:p w14:paraId="4C5F2675">
      <w:r>
        <w:rPr>
          <w:lang w:val="en-US"/>
        </w:rPr>
        <w:t>In NR, the CU–DU split (F1) and the CP–UP split (E1) were introduced to provide architectural flexibility. The CU–DU split defines the separation between centralized and distributed functions and remains the basis for NR’s functional architecture. Coordination of functions across multiple locations is only indirectly supported through Xn, which primarily addresses mobility and handover signaling rather than broader context management.</w:t>
      </w:r>
    </w:p>
    <w:p w14:paraId="5E488626">
      <w:pPr>
        <w:rPr>
          <w:lang w:val="en-US"/>
        </w:rPr>
      </w:pPr>
      <w:r>
        <w:rPr>
          <w:lang w:val="en-US"/>
        </w:rPr>
        <w:t>For 6G, functional splits are expected to continue following the legacy principles established in NR. Rather than introducing new split concepts, the focus should be on verifying whether existing splits remain sufficient in light of emerging requirements such as AI/ML-native operation, energy efficiency, and service awareness.</w:t>
      </w:r>
    </w:p>
    <w:p w14:paraId="30751E37">
      <w:pPr>
        <w:rPr>
          <w:b/>
          <w:bCs/>
          <w:lang w:val="en-US"/>
        </w:rPr>
      </w:pPr>
      <w:r>
        <w:rPr>
          <w:b/>
          <w:bCs/>
          <w:lang w:val="en-US"/>
        </w:rPr>
        <w:t>Observation 4 (Functional splits): Functional splits in NR (CU–DU, CP–UP) provided architectural flexibility, but their practical deployment has been uneven, with CP–UP separation (E1) seeing limited adoption.</w:t>
      </w:r>
    </w:p>
    <w:p w14:paraId="08EB00B4">
      <w:pPr>
        <w:rPr>
          <w:b/>
          <w:bCs/>
          <w:lang w:val="en-US"/>
        </w:rPr>
      </w:pPr>
      <w:r>
        <w:rPr>
          <w:b/>
          <w:bCs/>
          <w:lang w:val="en-US"/>
        </w:rPr>
        <w:t>Proposal 4 (Functional splits): The 6G RAN architecture should preserve the principle of functional separation established in NR, while reassessing the necessity of CP–UP split and confirming whether existing coordination mechanisms remain adequate for distributed deployments.</w:t>
      </w:r>
    </w:p>
    <w:p w14:paraId="00000028">
      <w:pPr>
        <w:pStyle w:val="5"/>
        <w:spacing w:before="280"/>
        <w:rPr>
          <w:rFonts w:hint="default" w:ascii="Arial" w:hAnsi="Arial" w:eastAsia="Times New Roman" w:cs="Arial"/>
          <w:b/>
          <w:color w:val="000000"/>
          <w:sz w:val="30"/>
          <w:szCs w:val="30"/>
        </w:rPr>
      </w:pPr>
      <w:r>
        <w:rPr>
          <w:rFonts w:hint="default" w:ascii="Arial" w:hAnsi="Arial" w:eastAsia="Times New Roman" w:cs="Arial"/>
          <w:b/>
          <w:color w:val="000000"/>
          <w:sz w:val="30"/>
          <w:szCs w:val="30"/>
        </w:rPr>
        <w:t>2.2.4 Integration of Terrestrial and Non-Terrestrial Networks</w:t>
      </w:r>
    </w:p>
    <w:p w14:paraId="48F77A21">
      <w:pPr>
        <w:rPr>
          <w:lang w:val="en-US"/>
        </w:rPr>
      </w:pPr>
      <w:r>
        <w:rPr>
          <w:lang w:val="en-US"/>
        </w:rPr>
        <w:t>The approved SID on 6G Radio (RP-252912) includes overall RAN architecture aspects and explicitly lists NTN as part of the study scope. While the SID does not explicitly define requirements for NTN–TN integration, its scope can be interpreted to include interworking, mobility, and session continuity procedures between terrestrial and non-terrestrial RAN nodes.</w:t>
      </w:r>
    </w:p>
    <w:p w14:paraId="624E82CF">
      <w:pPr>
        <w:rPr>
          <w:lang w:val="en-US"/>
        </w:rPr>
      </w:pPr>
      <w:r>
        <w:rPr>
          <w:lang w:val="en-US"/>
        </w:rPr>
        <w:t>From a RAN3 perspective, NTN-related work should focus on practical support for TN–NTN integration, prioritizing efficient solutions rather than addressing every potential corner case. Relevant considerations include: mobility and UE context handling between NTN and TN nodes, accounting for NTN-specific aspects such as large RTT and dynamic beam coverage, session continuity and interworking with Core Network functions, and ensuring that existing RAN3 signaling procedures can accommodate NTN-specific characteristics without unnecessary complexity. Other aspects of NTN, such as physical-layer design, waveform adaptation, and service-level requirements, remain outside RAN3 scope.</w:t>
      </w:r>
    </w:p>
    <w:p w14:paraId="2D943A35">
      <w:pPr>
        <w:spacing w:after="300"/>
        <w:rPr>
          <w:b/>
          <w:bCs/>
          <w:lang w:val="en-US"/>
        </w:rPr>
      </w:pPr>
      <w:r>
        <w:rPr>
          <w:b/>
          <w:bCs/>
          <w:lang w:val="en-US"/>
        </w:rPr>
        <w:t>Observation 5 (NTN): In NR, NTN support has been introduced, but integration with TN remains limited and primarily mobility-driven. Broader interworking aspects have not been fully addressed.</w:t>
      </w:r>
    </w:p>
    <w:p w14:paraId="20973BBE">
      <w:pPr>
        <w:spacing w:after="300"/>
        <w:rPr>
          <w:b/>
          <w:bCs/>
          <w:lang w:val="en-US"/>
        </w:rPr>
      </w:pPr>
      <w:r>
        <w:rPr>
          <w:b/>
          <w:bCs/>
          <w:lang w:val="en-US"/>
        </w:rPr>
        <w:br w:type="textWrapping"/>
      </w:r>
      <w:r>
        <w:rPr>
          <w:b/>
          <w:bCs/>
          <w:lang w:val="en-US"/>
        </w:rPr>
        <w:t>Proposal 5 (NTN): The RAN architecture should support integration of TN and NTN, ensuring mobility, session continuity, and context handling across both domains in an efficient and interoperable manner.</w:t>
      </w:r>
    </w:p>
    <w:p w14:paraId="00000030">
      <w:pPr>
        <w:pStyle w:val="5"/>
        <w:spacing w:before="280"/>
        <w:rPr>
          <w:rFonts w:hint="default" w:ascii="Arial" w:hAnsi="Arial" w:eastAsia="Times New Roman" w:cs="Arial"/>
          <w:b/>
          <w:color w:val="000000"/>
          <w:sz w:val="30"/>
          <w:szCs w:val="30"/>
        </w:rPr>
      </w:pPr>
      <w:r>
        <w:rPr>
          <w:rFonts w:hint="default" w:ascii="Arial" w:hAnsi="Arial" w:eastAsia="Times New Roman" w:cs="Arial"/>
          <w:b/>
          <w:color w:val="000000"/>
          <w:sz w:val="30"/>
          <w:szCs w:val="30"/>
        </w:rPr>
        <w:t>2.2.5 Integrated Sensing and Communications (ISAC)</w:t>
      </w:r>
    </w:p>
    <w:p w14:paraId="0EC02A09">
      <w:pPr>
        <w:rPr>
          <w:lang w:val="en-US"/>
        </w:rPr>
      </w:pPr>
      <w:r>
        <w:rPr>
          <w:lang w:val="en-US"/>
        </w:rPr>
        <w:t>ISAC is already being studied in Rel-20, focusing on enhancements to enable joint use of communication signals for positioning and sensing. For 6G, ISAC is expected to evolve towards native integration, supporting higher accuracy, wider coverage, and new service scenarios.</w:t>
      </w:r>
    </w:p>
    <w:p w14:paraId="3036F796">
      <w:pPr>
        <w:rPr>
          <w:lang w:val="en-US"/>
        </w:rPr>
      </w:pPr>
      <w:r>
        <w:rPr>
          <w:lang w:val="en-US"/>
        </w:rPr>
        <w:t>From a RAN3 perspective, the key question is how reference points and procedures can provide architectural support for ISAC in a scalable way. This may involve: ensuring measurement and reporting procedures can include sensing-related information, enabling context exchange related to sensing across entities, and providing coordination mechanisms so that sensing and communication can coexist efficiently, especially in distributed and edge deployments.</w:t>
      </w:r>
    </w:p>
    <w:p w14:paraId="6A916816">
      <w:pPr>
        <w:rPr>
          <w:b/>
          <w:bCs/>
          <w:lang w:val="en-US"/>
        </w:rPr>
      </w:pPr>
      <w:r>
        <w:rPr>
          <w:b/>
          <w:bCs/>
          <w:lang w:val="en-US"/>
        </w:rPr>
        <w:t>Observation 6 (ISAC): In NR, measurement and reporting procedures focus on communication performance, with initial studies on sensing-related information ongoing in Rel-20. For 6G, native architectural support for sensing integration will be needed.</w:t>
      </w:r>
    </w:p>
    <w:p w14:paraId="52C9622C">
      <w:pPr>
        <w:rPr>
          <w:b/>
          <w:bCs/>
          <w:lang w:val="en-US"/>
        </w:rPr>
      </w:pPr>
      <w:r>
        <w:rPr>
          <w:b/>
          <w:bCs/>
          <w:lang w:val="en-US"/>
        </w:rPr>
        <w:t>Proposal 6 (ISAC): The RAN architecture should support native integration of ISAC, ensuring that reference points and procedures can handle sensing alongside other 6G service requirements.</w:t>
      </w:r>
    </w:p>
    <w:p w14:paraId="00000039">
      <w:pPr>
        <w:pStyle w:val="5"/>
        <w:numPr>
          <w:ilvl w:val="2"/>
          <w:numId w:val="7"/>
        </w:numPr>
        <w:spacing w:before="280"/>
        <w:rPr>
          <w:rFonts w:hint="default" w:ascii="Arial" w:hAnsi="Arial" w:eastAsia="Times New Roman" w:cs="Arial"/>
          <w:b/>
          <w:color w:val="000000"/>
          <w:sz w:val="30"/>
          <w:szCs w:val="30"/>
        </w:rPr>
      </w:pPr>
      <w:r>
        <w:rPr>
          <w:rFonts w:hint="default" w:ascii="Arial" w:hAnsi="Arial" w:eastAsia="Times New Roman" w:cs="Arial"/>
          <w:b/>
          <w:color w:val="000000"/>
          <w:sz w:val="30"/>
          <w:szCs w:val="30"/>
        </w:rPr>
        <w:t>Network Energy Saving and Efficiency</w:t>
      </w:r>
    </w:p>
    <w:p w14:paraId="3CB070F1">
      <w:pPr>
        <w:rPr>
          <w:lang w:val="en-US"/>
        </w:rPr>
      </w:pPr>
      <w:r>
        <w:rPr>
          <w:lang w:val="en-US"/>
        </w:rPr>
        <w:t>The approved SID on 6G Radio (RP-252912) identifies energy efficiency and energy saving (for both network and device) as a study objective. In NR, energy saving is partially supported through features such as carrier or beam deactivation and TRP muting, but procedure-level coordination across nodes and reference points remains limited. The 6G RAN architecture may therefore need to support enhanced network energy saving mechanisms across RAN nodes, including CU/DU-based deployments.</w:t>
      </w:r>
    </w:p>
    <w:p w14:paraId="37F8C4D3">
      <w:pPr>
        <w:rPr>
          <w:lang w:val="en-US"/>
        </w:rPr>
      </w:pPr>
      <w:r>
        <w:rPr>
          <w:lang w:val="en-US"/>
        </w:rPr>
        <w:t>From a RAN3 perspective, relevant considerations include: whether procedures should support retention of UE and bearer information when gNB functions (CU-UP, DU, or TRP) enter energy saving states, in order to minimize signaling during resume, whether resume procedures across F1 and Xn should be adapted to ensure low latency and QoS continuity when nodes or TRPs are reactivated, and whether coordination mechanisms across CU/DU and multi-node architectures are required, while avoiding unnecessary complexity.</w:t>
      </w:r>
    </w:p>
    <w:p w14:paraId="6B622C57">
      <w:pPr>
        <w:rPr>
          <w:b/>
          <w:bCs/>
          <w:lang w:val="en-US"/>
        </w:rPr>
      </w:pPr>
      <w:r>
        <w:rPr>
          <w:b/>
          <w:bCs/>
          <w:lang w:val="en-US"/>
        </w:rPr>
        <w:t>Observation 7 (NES): In NR, network energy saving relies mainly on localized features such as TRP muting, with limited procedure-level support across nodes. For 6G, and in line with the SID objective of energy efficiency and energy saving (for network and device), architectural support may be required for more coordinated energy saving while maintaining service continuity.</w:t>
      </w:r>
    </w:p>
    <w:p w14:paraId="793163AE">
      <w:pPr>
        <w:rPr>
          <w:lang w:val="en-US"/>
        </w:rPr>
      </w:pPr>
      <w:r>
        <w:rPr>
          <w:b/>
          <w:bCs/>
          <w:lang w:val="en-US"/>
        </w:rPr>
        <w:t>Proposal 7 (NES): The RAN architecture should support coordinated energy saving mechanisms across nodes, including retention of UE and bearer information and efficient resume procedures, in order to achieve energy efficiency while ensuring service continuity</w:t>
      </w:r>
      <w:r>
        <w:rPr>
          <w:lang w:val="en-US"/>
        </w:rPr>
        <w:t>.</w:t>
      </w:r>
    </w:p>
    <w:p w14:paraId="00000041">
      <w:pPr>
        <w:pStyle w:val="5"/>
        <w:spacing w:before="280"/>
        <w:rPr>
          <w:rFonts w:hint="default" w:ascii="Arial" w:hAnsi="Arial" w:eastAsia="Times New Roman" w:cs="Arial"/>
          <w:b/>
          <w:color w:val="000000"/>
          <w:sz w:val="30"/>
          <w:szCs w:val="30"/>
        </w:rPr>
      </w:pPr>
      <w:r>
        <w:rPr>
          <w:rFonts w:hint="default" w:ascii="Arial" w:hAnsi="Arial" w:eastAsia="Times New Roman" w:cs="Arial"/>
          <w:b/>
          <w:color w:val="000000"/>
          <w:sz w:val="30"/>
          <w:szCs w:val="30"/>
        </w:rPr>
        <w:t>2.2.7 Service Awareness and Resilience</w:t>
      </w:r>
    </w:p>
    <w:p w14:paraId="3F358E9A">
      <w:pPr>
        <w:rPr>
          <w:lang w:val="en-US"/>
        </w:rPr>
      </w:pPr>
      <w:r>
        <w:rPr>
          <w:lang w:val="en-US"/>
        </w:rPr>
        <w:t>The approved SID on 6G Radio (RP-252912) identifies service support, resilience, and reliability as study objectives. In this context, the 6G RAN shall provide enhanced service awareness and resilience compared to NR.</w:t>
      </w:r>
    </w:p>
    <w:p w14:paraId="5C8A1EA6">
      <w:pPr>
        <w:rPr>
          <w:lang w:val="en-US"/>
        </w:rPr>
      </w:pPr>
      <w:r>
        <w:rPr>
          <w:lang w:val="en-US"/>
        </w:rPr>
        <w:t>From a RAN3 perspective, this may involve: assessing whether Xn and RAN–CN interfaces should support the exchange of service-related context across entities, and considering whether mechanisms are needed to ensure continuity of service under fault or failure conditions, including support for redundancy and deployments spanning multiple sites.</w:t>
      </w:r>
    </w:p>
    <w:p w14:paraId="6031ED24">
      <w:pPr>
        <w:rPr>
          <w:b/>
          <w:bCs/>
          <w:lang w:val="en-US"/>
        </w:rPr>
      </w:pPr>
      <w:r>
        <w:rPr>
          <w:b/>
          <w:bCs/>
          <w:lang w:val="en-US"/>
        </w:rPr>
        <w:t>Observation 8 (Service Awareness &amp; Resilience): In NR, reference point procedures provide limited support for conveying service-related context or for resilience under node or link failures. The SID identifies service support, resilience, and reliability as areas requiring further study in 6G.</w:t>
      </w:r>
    </w:p>
    <w:p w14:paraId="3153532E">
      <w:pPr>
        <w:rPr>
          <w:b/>
          <w:bCs/>
          <w:lang w:val="en-US"/>
        </w:rPr>
      </w:pPr>
      <w:r>
        <w:rPr>
          <w:b/>
          <w:bCs/>
          <w:lang w:val="en-US"/>
        </w:rPr>
        <w:t>Proposal 8 (Service Awareness &amp; Resilience): The RAN architecture should support enhanced service awareness and resilience, including the ability to convey service-related context and to maintain continuity under fault conditions and diverse deployment scenarios.</w:t>
      </w:r>
    </w:p>
    <w:p w14:paraId="23235395">
      <w:pPr>
        <w:pStyle w:val="5"/>
        <w:spacing w:before="280"/>
        <w:rPr>
          <w:rFonts w:hint="default" w:ascii="Arial" w:hAnsi="Arial" w:eastAsia="Times New Roman" w:cs="Arial"/>
          <w:b/>
          <w:color w:val="000000"/>
          <w:sz w:val="30"/>
          <w:szCs w:val="30"/>
        </w:rPr>
      </w:pPr>
      <w:r>
        <w:rPr>
          <w:rFonts w:hint="default" w:ascii="Arial" w:hAnsi="Arial" w:eastAsia="Times New Roman" w:cs="Arial"/>
          <w:b/>
          <w:color w:val="000000"/>
          <w:sz w:val="30"/>
          <w:szCs w:val="30"/>
        </w:rPr>
        <w:t>2.2.8 Migration and Deployment Considerations</w:t>
      </w:r>
    </w:p>
    <w:p w14:paraId="4A1EAD1A">
      <w:pPr>
        <w:spacing w:before="240" w:after="240"/>
        <w:rPr>
          <w:rFonts w:eastAsia="Times New Roman"/>
          <w:lang w:val="en-US"/>
        </w:rPr>
      </w:pPr>
      <w:r>
        <w:rPr>
          <w:rFonts w:eastAsia="Times New Roman"/>
          <w:lang w:val="en-US"/>
        </w:rPr>
        <w:t>In addition to the architectural considerations outlined above, the following aspects are expected to influence the evolution of 6G RAN procedures and reference points, consistent with TR 38.914 requirements:</w:t>
      </w:r>
    </w:p>
    <w:p w14:paraId="15E3AB05">
      <w:pPr>
        <w:numPr>
          <w:ilvl w:val="0"/>
          <w:numId w:val="8"/>
        </w:numPr>
        <w:spacing w:before="240" w:after="240"/>
        <w:rPr>
          <w:rFonts w:eastAsia="Times New Roman"/>
          <w:lang w:val="en-US"/>
        </w:rPr>
      </w:pPr>
      <w:r>
        <w:rPr>
          <w:rFonts w:eastAsia="Times New Roman"/>
          <w:b/>
          <w:bCs/>
          <w:lang w:val="en-US"/>
        </w:rPr>
        <w:t>Multi-RAT Spectrum Sharing and Inter-RAT Mobility:</w:t>
      </w:r>
      <w:r>
        <w:rPr>
          <w:rFonts w:eastAsia="Times New Roman"/>
          <w:lang w:val="en-US"/>
        </w:rPr>
        <w:t xml:space="preserve"> The 6G RAN shall support spectrum sharing and seamless mobility between NR and 6G RAN (6GR). While spectrum aspects are studied in RAN1, RAN3 procedures (e.g., mobility handling via NG and Xn) may need to be considered to ensure smooth migration and interoperability.</w:t>
      </w:r>
    </w:p>
    <w:p w14:paraId="5A2499DC">
      <w:pPr>
        <w:numPr>
          <w:ilvl w:val="0"/>
          <w:numId w:val="8"/>
        </w:numPr>
        <w:spacing w:before="240" w:after="240"/>
        <w:rPr>
          <w:rFonts w:eastAsia="Times New Roman"/>
          <w:lang w:val="en-US"/>
        </w:rPr>
      </w:pPr>
      <w:r>
        <w:rPr>
          <w:rFonts w:eastAsia="Times New Roman"/>
          <w:b/>
          <w:bCs/>
          <w:lang w:val="en-US"/>
        </w:rPr>
        <w:t>Role of Multi-TRP in Migration:</w:t>
      </w:r>
      <w:r>
        <w:rPr>
          <w:rFonts w:eastAsia="Times New Roman"/>
          <w:lang w:val="en-US"/>
        </w:rPr>
        <w:t xml:space="preserve"> Multi-TRP connectivity and aggregation may facilitate NR–6GR interworking and support migration scenarios by enabling seamless service continuity across RATs.</w:t>
      </w:r>
    </w:p>
    <w:p w14:paraId="492F6BDB">
      <w:pPr>
        <w:numPr>
          <w:ilvl w:val="0"/>
          <w:numId w:val="8"/>
        </w:numPr>
        <w:spacing w:before="240" w:after="240"/>
        <w:rPr>
          <w:rFonts w:eastAsia="Times New Roman"/>
          <w:lang w:val="en-US"/>
        </w:rPr>
      </w:pPr>
      <w:r>
        <w:rPr>
          <w:rFonts w:eastAsia="Times New Roman"/>
          <w:b/>
          <w:bCs/>
          <w:lang w:val="en-US"/>
        </w:rPr>
        <w:t>Multi-Operator RAN Sharing and Non-Public Networks:</w:t>
      </w:r>
      <w:r>
        <w:rPr>
          <w:rFonts w:eastAsia="Times New Roman"/>
          <w:lang w:val="en-US"/>
        </w:rPr>
        <w:t xml:space="preserve"> The 6G RAN shall support RAN sharing between operators as well as deployment of non-public networks. From a RAN3 perspective, this implies that NG and E1 procedures may need to be reviewed to ensure flexible deployment models while maintaining interoperability.</w:t>
      </w:r>
    </w:p>
    <w:p w14:paraId="3B498FB8">
      <w:pPr>
        <w:numPr>
          <w:ilvl w:val="0"/>
          <w:numId w:val="8"/>
        </w:numPr>
        <w:spacing w:before="240" w:after="240"/>
        <w:rPr>
          <w:rFonts w:eastAsia="Times New Roman"/>
          <w:lang w:val="en-US"/>
        </w:rPr>
      </w:pPr>
      <w:r>
        <w:rPr>
          <w:rFonts w:eastAsia="Times New Roman"/>
          <w:b/>
          <w:bCs/>
          <w:lang w:val="en-US"/>
        </w:rPr>
        <w:t>Migration Options:</w:t>
      </w:r>
      <w:r>
        <w:rPr>
          <w:rFonts w:eastAsia="Times New Roman"/>
          <w:lang w:val="en-US"/>
        </w:rPr>
        <w:t xml:space="preserve"> Current requirements cover standalone 6G RAN, Multi-RAT spectrum sharing, and NR–6GR inter-RAT mobility. Additional migration options may be studied further during the 6G Radio SI.</w:t>
      </w:r>
    </w:p>
    <w:p w14:paraId="101B538C">
      <w:pPr>
        <w:spacing w:before="240" w:after="240"/>
        <w:rPr>
          <w:rFonts w:eastAsia="Times New Roman"/>
          <w:b/>
          <w:bCs/>
          <w:lang w:val="en-US"/>
        </w:rPr>
      </w:pPr>
      <w:r>
        <w:rPr>
          <w:rFonts w:eastAsia="Times New Roman"/>
          <w:b/>
          <w:bCs/>
          <w:lang w:val="en-US"/>
        </w:rPr>
        <w:t>Observation 9 (Migration): Migration from NR to 6GR will require procedure-level support for mobility, interoperability, and deployment flexibility across multiple scenarios. In addition, further migration options are expected to be studied in more detail during the 6G Radio SI.</w:t>
      </w:r>
    </w:p>
    <w:p w14:paraId="00000048">
      <w:pPr>
        <w:spacing w:before="240" w:after="240"/>
        <w:rPr>
          <w:rFonts w:eastAsia="Times New Roman"/>
          <w:b/>
          <w:bCs/>
          <w:lang w:val="en-US"/>
        </w:rPr>
      </w:pPr>
      <w:r>
        <w:rPr>
          <w:rFonts w:eastAsia="Times New Roman"/>
          <w:b/>
          <w:bCs/>
          <w:lang w:val="en-US"/>
        </w:rPr>
        <w:t>Proposal 9 (Migration): The RAN architecture should support migration and deployment flexibility, ensuring that new 6G functions can interwork efficiently with NR during transition phases and that multiple migration scenarios can be accommodated.</w:t>
      </w:r>
    </w:p>
    <w:p w14:paraId="346B09C0">
      <w:pPr>
        <w:spacing w:before="240" w:after="240"/>
        <w:rPr>
          <w:rFonts w:eastAsia="Times New Roman"/>
          <w:lang w:val="en-US"/>
        </w:rPr>
      </w:pPr>
    </w:p>
    <w:p w14:paraId="3B6FF854">
      <w:pPr>
        <w:pStyle w:val="4"/>
        <w:numPr>
          <w:ilvl w:val="1"/>
          <w:numId w:val="7"/>
        </w:numPr>
        <w:spacing w:after="80"/>
        <w:rPr>
          <w:rFonts w:hint="default" w:ascii="Arial" w:hAnsi="Arial" w:eastAsia="Times New Roman" w:cs="Arial"/>
          <w:b/>
          <w:sz w:val="30"/>
          <w:szCs w:val="30"/>
        </w:rPr>
      </w:pPr>
      <w:bookmarkStart w:id="3" w:name="_8qvoer8gttp6" w:colFirst="0" w:colLast="0"/>
      <w:bookmarkEnd w:id="3"/>
      <w:r>
        <w:rPr>
          <w:rFonts w:hint="default" w:ascii="Arial" w:hAnsi="Arial" w:eastAsia="Times New Roman" w:cs="Arial"/>
          <w:b/>
          <w:color w:val="000000"/>
          <w:sz w:val="30"/>
          <w:szCs w:val="30"/>
        </w:rPr>
        <w:t>Interfaces and Dependencies on SA2</w:t>
      </w:r>
    </w:p>
    <w:p w14:paraId="1F4077AE">
      <w:pPr>
        <w:rPr>
          <w:lang w:val="en-US"/>
        </w:rPr>
      </w:pPr>
      <w:r>
        <w:rPr>
          <w:lang w:val="en-US"/>
        </w:rPr>
        <w:t>The SID on 6G Radio (RP-252912) includes overall RAN architecture aspects and interworking with the Core Network. SA2 has already initiated studies on the 6G system architecture, including Core–RAN interactions, but conclusions are still pending.</w:t>
      </w:r>
    </w:p>
    <w:p w14:paraId="1097200A">
      <w:pPr>
        <w:rPr>
          <w:lang w:val="en-US"/>
        </w:rPr>
      </w:pPr>
      <w:r>
        <w:rPr>
          <w:lang w:val="en-US"/>
        </w:rPr>
        <w:t>From a RAN3 perspective, the approach should be to: assess whether existing reference points (e.g., Xn, RAN–CN interfaces/procedures, currently NG-C/NG-U in NR) are sufficient, or if enhancements are needed, while minimizing complexity and building on established architectural foundations, remain open to new interfaces if justified by emerging use cases identified in SA2 or other groups, and coordinate closely with SA2 to ensure alignment on Core–RAN interworking.</w:t>
      </w:r>
    </w:p>
    <w:p w14:paraId="04054B7F">
      <w:pPr>
        <w:rPr>
          <w:b/>
          <w:bCs/>
          <w:lang w:val="en-US"/>
        </w:rPr>
      </w:pPr>
      <w:r>
        <w:rPr>
          <w:b/>
          <w:bCs/>
          <w:lang w:val="en-US"/>
        </w:rPr>
        <w:t>Observation 10: In NR, RAN–CN interfaces (NG-C/NG-U) were defined with a clear division of responsibilities between RAN3 and SA2. For 6G, broader topics such as service awareness, resilience, and NTN–TN interworking will require tighter coordination.</w:t>
      </w:r>
    </w:p>
    <w:p w14:paraId="543875C9">
      <w:pPr>
        <w:rPr>
          <w:b/>
          <w:bCs/>
          <w:lang w:val="en-US"/>
        </w:rPr>
      </w:pPr>
      <w:r>
        <w:rPr>
          <w:b/>
          <w:bCs/>
          <w:lang w:val="en-US"/>
        </w:rPr>
        <w:t>Proposal 10: The RAN architecture should support efficient Core–RAN interworking while maintaining clear separation of responsibilities, with close alignment between RAN3 and SA2 on any required evolution of RAN–CN interfaces.</w:t>
      </w:r>
    </w:p>
    <w:p w14:paraId="758DD03C">
      <w:pPr>
        <w:pStyle w:val="4"/>
        <w:rPr>
          <w:rFonts w:hint="default" w:ascii="Arial" w:hAnsi="Arial" w:cs="Arial"/>
          <w:lang w:val="en-US"/>
        </w:rPr>
      </w:pPr>
      <w:r>
        <w:rPr>
          <w:rFonts w:hint="default" w:ascii="Arial" w:hAnsi="Arial" w:cs="Arial"/>
          <w:b/>
          <w:bCs/>
          <w:lang w:val="en-US"/>
        </w:rPr>
        <w:t xml:space="preserve">2.4 </w:t>
      </w:r>
      <w:r>
        <w:rPr>
          <w:rFonts w:hint="default" w:ascii="Arial" w:hAnsi="Arial" w:cs="Arial"/>
          <w:lang w:val="en-US"/>
        </w:rPr>
        <w:t xml:space="preserve"> </w:t>
      </w:r>
      <w:r>
        <w:rPr>
          <w:rFonts w:hint="default" w:ascii="Arial" w:hAnsi="Arial" w:cs="Arial"/>
          <w:b/>
          <w:bCs/>
          <w:sz w:val="30"/>
          <w:szCs w:val="30"/>
          <w:lang w:val="en-US"/>
        </w:rPr>
        <w:t xml:space="preserve">Inter-WG Coordination on 6G-Sensing </w:t>
      </w:r>
    </w:p>
    <w:p w14:paraId="76CA028B">
      <w:pPr>
        <w:rPr>
          <w:lang w:val="en-US"/>
        </w:rPr>
      </w:pPr>
      <w:r>
        <w:t>As discussed previously, given the further development of various verticals using 6G as a platform, a significant challenge lies in inter-working group coordination. This arises from the need to specify both RAN architecture and Core Network architecture, often requiring alignment with application-layer KPIs. While collaboration will necessarily need to be addressed on a case-by-case basis, this paper focuses on 6G sensing as an illustrative example. In this regard, ongoing studies and inter-WG coordination already initiated in 5G-Advanced may provide valuable experience to help guide progress on 6G.</w:t>
      </w:r>
    </w:p>
    <w:p w14:paraId="5428C1F9">
      <w:pPr>
        <w:rPr>
          <w:lang w:val="en-US"/>
        </w:rPr>
      </w:pPr>
      <w:r>
        <w:rPr>
          <w:lang w:val="en-US"/>
        </w:rPr>
        <w:t xml:space="preserve">In Rel-20, RP-251861 (New SID: </w:t>
      </w:r>
      <w:r>
        <w:rPr>
          <w:i/>
          <w:iCs/>
          <w:lang w:val="en-US"/>
        </w:rPr>
        <w:t>Study on Integrated Sensing and Communication (ISAC) for NR</w:t>
      </w:r>
      <w:r>
        <w:rPr>
          <w:lang w:val="en-US"/>
        </w:rPr>
        <w:t>, RAN#108)[3], only gNB monostatic sensing was considered, and the work involved RAN1 and RAN3. Based on the SID [3], the work split between RAN1 and RAN3 is as follows:</w:t>
      </w:r>
    </w:p>
    <w:p w14:paraId="3AA64D4A">
      <w:pPr>
        <w:numPr>
          <w:ilvl w:val="0"/>
          <w:numId w:val="9"/>
        </w:numPr>
        <w:rPr>
          <w:lang w:val="en-US"/>
        </w:rPr>
      </w:pPr>
      <w:r>
        <w:rPr>
          <w:b/>
          <w:bCs/>
          <w:lang w:val="en-US"/>
        </w:rPr>
        <w:t>RAN1</w:t>
      </w:r>
      <w:r>
        <w:rPr>
          <w:lang w:val="en-US"/>
        </w:rPr>
        <w:t xml:space="preserve"> is responsible for the performance evaluation and identification of relevant measurements.</w:t>
      </w:r>
    </w:p>
    <w:p w14:paraId="18EFF5F0">
      <w:pPr>
        <w:numPr>
          <w:ilvl w:val="0"/>
          <w:numId w:val="9"/>
        </w:numPr>
        <w:rPr>
          <w:lang w:val="en-US"/>
        </w:rPr>
      </w:pPr>
      <w:r>
        <w:rPr>
          <w:b/>
          <w:bCs/>
          <w:lang w:val="en-US"/>
        </w:rPr>
        <w:t>RAN3</w:t>
      </w:r>
      <w:r>
        <w:rPr>
          <w:lang w:val="en-US"/>
        </w:rPr>
        <w:t xml:space="preserve"> is responsible for the study of architecture, procedures, and signalling between RAN and CN to support ISAC.</w:t>
      </w:r>
    </w:p>
    <w:p w14:paraId="04CA01F0">
      <w:pPr>
        <w:numPr>
          <w:ilvl w:val="0"/>
          <w:numId w:val="9"/>
        </w:numPr>
        <w:rPr>
          <w:lang w:val="en-US"/>
        </w:rPr>
      </w:pPr>
      <w:r>
        <w:rPr>
          <w:lang w:val="en-US"/>
        </w:rPr>
        <w:t xml:space="preserve">The studies in RAN1 and RAN3 proceed in parallel, i.e., RAN3 commenced its study without waiting for RAN1 progress. </w:t>
      </w:r>
    </w:p>
    <w:p w14:paraId="6A7F1678">
      <w:pPr>
        <w:rPr>
          <w:lang w:val="en-US"/>
        </w:rPr>
      </w:pPr>
      <w:r>
        <w:t xml:space="preserve">However, as described in [1], 6G sensing–related work is distributed across different objectives and allocated to different WGs, namely RAN1,RAN2, RAN3. </w:t>
      </w:r>
    </w:p>
    <w:p w14:paraId="6CF6175F"/>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tblGrid>
      <w:tr w14:paraId="776E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1" w:type="dxa"/>
          </w:tcPr>
          <w:p w14:paraId="5CADC723">
            <w:pPr>
              <w:rPr>
                <w:rFonts w:ascii="Cambria" w:hAnsi="Cambria"/>
                <w:lang w:val="en-US"/>
              </w:rPr>
            </w:pPr>
            <w:r>
              <w:rPr>
                <w:rFonts w:ascii="Cambria" w:hAnsi="Cambria"/>
                <w:lang w:val="en-US"/>
              </w:rPr>
              <w:drawing>
                <wp:inline distT="0" distB="0" distL="0" distR="0">
                  <wp:extent cx="3276600" cy="5715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5"/>
                          <a:stretch>
                            <a:fillRect/>
                          </a:stretch>
                        </pic:blipFill>
                        <pic:spPr>
                          <a:xfrm>
                            <a:off x="0" y="0"/>
                            <a:ext cx="3276884" cy="571550"/>
                          </a:xfrm>
                          <a:prstGeom prst="rect">
                            <a:avLst/>
                          </a:prstGeom>
                        </pic:spPr>
                      </pic:pic>
                    </a:graphicData>
                  </a:graphic>
                </wp:inline>
              </w:drawing>
            </w:r>
          </w:p>
          <w:p w14:paraId="11BD6C66">
            <w:pPr>
              <w:rPr>
                <w:rFonts w:ascii="Cambria" w:hAnsi="Cambria"/>
                <w:lang w:val="en-US"/>
              </w:rPr>
            </w:pPr>
            <w:r>
              <w:rPr>
                <w:rFonts w:ascii="Cambria" w:hAnsi="Cambria"/>
                <w:lang w:val="en-US"/>
              </w:rPr>
              <w:drawing>
                <wp:inline distT="0" distB="0" distL="0" distR="0">
                  <wp:extent cx="3238500" cy="4000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6"/>
                          <a:stretch>
                            <a:fillRect/>
                          </a:stretch>
                        </pic:blipFill>
                        <pic:spPr>
                          <a:xfrm>
                            <a:off x="0" y="0"/>
                            <a:ext cx="3238781" cy="400085"/>
                          </a:xfrm>
                          <a:prstGeom prst="rect">
                            <a:avLst/>
                          </a:prstGeom>
                        </pic:spPr>
                      </pic:pic>
                    </a:graphicData>
                  </a:graphic>
                </wp:inline>
              </w:drawing>
            </w:r>
          </w:p>
          <w:p w14:paraId="2AF44100">
            <w:pPr>
              <w:rPr>
                <w:rFonts w:ascii="Cambria" w:hAnsi="Cambria"/>
                <w:lang w:val="en-US"/>
              </w:rPr>
            </w:pPr>
            <w:r>
              <w:rPr>
                <w:rFonts w:ascii="Cambria" w:hAnsi="Cambria"/>
                <w:lang w:val="en-US"/>
              </w:rPr>
              <w:drawing>
                <wp:inline distT="0" distB="0" distL="0" distR="0">
                  <wp:extent cx="3181350" cy="8572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pic:cNvPicPr>
                        </pic:nvPicPr>
                        <pic:blipFill>
                          <a:blip r:embed="rId7"/>
                          <a:stretch>
                            <a:fillRect/>
                          </a:stretch>
                        </pic:blipFill>
                        <pic:spPr>
                          <a:xfrm>
                            <a:off x="0" y="0"/>
                            <a:ext cx="3181626" cy="857324"/>
                          </a:xfrm>
                          <a:prstGeom prst="rect">
                            <a:avLst/>
                          </a:prstGeom>
                        </pic:spPr>
                      </pic:pic>
                    </a:graphicData>
                  </a:graphic>
                </wp:inline>
              </w:drawing>
            </w:r>
          </w:p>
        </w:tc>
      </w:tr>
    </w:tbl>
    <w:p w14:paraId="5FDE154C">
      <w:pPr>
        <w:rPr>
          <w:lang w:val="en-US"/>
        </w:rPr>
      </w:pPr>
    </w:p>
    <w:p w14:paraId="6922CADF">
      <w:r>
        <w:rPr>
          <w:b/>
          <w:bCs/>
          <w:lang w:val="en-US"/>
        </w:rPr>
        <w:t>Observation 11a: In Rel-20, the ISAC SI work was split between RAN1 and RAN3. For 6G sensing studies, however, the work is split across RAN1, RAN2, and RAN3, thereby increasing the need for clear role definitions and inter-WG coordination.</w:t>
      </w:r>
    </w:p>
    <w:p w14:paraId="63F08010">
      <w:pPr>
        <w:rPr>
          <w:lang w:val="en-US"/>
        </w:rPr>
      </w:pPr>
      <w:r>
        <w:t>After reviewing the feature developments in 5G, the role split among RAN1, RAN2, and RAN3 for positioning appears more comparable to what may be expected for 6G ISAC, since all sensing modes are to be considered in 6G as agreed in the last RAN Plenary [1], i.e., with UE involvement.</w:t>
      </w:r>
    </w:p>
    <w:p w14:paraId="7F580C7B">
      <w:pPr>
        <w:rPr>
          <w:lang w:val="en-US"/>
        </w:rPr>
      </w:pPr>
      <w:r>
        <w:rPr>
          <w:lang w:val="en-US"/>
        </w:rPr>
        <w:t>Rel-16 was the first release where NR supported RAT-dependent positioning. According to [5], the role split in the Rel-16 NR positioning study was as follows:</w:t>
      </w:r>
    </w:p>
    <w:p w14:paraId="6FE3C2CB">
      <w:pPr>
        <w:numPr>
          <w:ilvl w:val="0"/>
          <w:numId w:val="10"/>
        </w:numPr>
        <w:rPr>
          <w:lang w:val="en-US"/>
        </w:rPr>
      </w:pPr>
      <w:r>
        <w:rPr>
          <w:lang w:val="en-US"/>
        </w:rPr>
        <w:t>RAN1 was responsible for performance evaluation, and the study and evaluation of potential solutions for positioning technologies.</w:t>
      </w:r>
    </w:p>
    <w:p w14:paraId="0FB4C62F">
      <w:pPr>
        <w:numPr>
          <w:ilvl w:val="0"/>
          <w:numId w:val="10"/>
        </w:numPr>
        <w:rPr>
          <w:lang w:val="en-US"/>
        </w:rPr>
      </w:pPr>
      <w:r>
        <w:rPr>
          <w:lang w:val="en-US"/>
        </w:rPr>
        <w:t>RAN2 played the leading role in the study of positioning architecture, including functional interfaces, protocol, and procedures for supporting NR-dependent positioning technologies.</w:t>
      </w:r>
    </w:p>
    <w:p w14:paraId="2523A3DC">
      <w:pPr>
        <w:numPr>
          <w:ilvl w:val="0"/>
          <w:numId w:val="10"/>
        </w:numPr>
        <w:rPr>
          <w:lang w:val="en-US"/>
        </w:rPr>
      </w:pPr>
      <w:r>
        <w:rPr>
          <w:lang w:val="en-US"/>
        </w:rPr>
        <w:t>RAN3 acted as a supporting WG, reviewing and checking architectural decisions.</w:t>
      </w:r>
    </w:p>
    <w:p w14:paraId="10A91E40">
      <w:pPr>
        <w:numPr>
          <w:ilvl w:val="0"/>
          <w:numId w:val="10"/>
        </w:numPr>
        <w:rPr>
          <w:lang w:val="en-US"/>
        </w:rPr>
      </w:pPr>
      <w:r>
        <w:rPr>
          <w:lang w:val="en-US"/>
        </w:rPr>
        <w:t>Parallel study: RAN1 and RAN2 progressed in parallel, i.e., architecture and procedure discussions did not wait for the completion of RAN1 evaluations.</w:t>
      </w:r>
    </w:p>
    <w:p w14:paraId="5B862543">
      <w:pPr>
        <w:rPr>
          <w:b/>
          <w:bCs/>
          <w:lang w:val="en-US"/>
        </w:rPr>
      </w:pPr>
      <w:r>
        <w:rPr>
          <w:b/>
          <w:bCs/>
          <w:lang w:val="en-US"/>
        </w:rPr>
        <w:t xml:space="preserve">Observation 11b: The Rel-16 positioning precedent shows that architectural and procedural aspects were led </w:t>
      </w:r>
      <w:r>
        <w:rPr>
          <w:rFonts w:hint="eastAsia"/>
          <w:b/>
          <w:bCs/>
          <w:lang w:val="en-US" w:eastAsia="zh-CN"/>
        </w:rPr>
        <w:t>by RAN2</w:t>
      </w:r>
      <w:r>
        <w:rPr>
          <w:b/>
          <w:bCs/>
          <w:lang w:val="en-US"/>
        </w:rPr>
        <w:t>, with RAN3 acting in a supporting role.</w:t>
      </w:r>
    </w:p>
    <w:p w14:paraId="46660571">
      <w:pPr>
        <w:rPr>
          <w:lang w:val="en-US"/>
        </w:rPr>
      </w:pPr>
      <w:r>
        <w:t>The following provides some analysis on the scoping of 5G ISAC versus 6G ISAC, with the aim of supporting discussion on the scope boundaries and the interdependencies across different working groups.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2653"/>
        <w:gridCol w:w="2330"/>
        <w:gridCol w:w="2330"/>
      </w:tblGrid>
      <w:tr w14:paraId="299A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07" w:type="dxa"/>
          </w:tcPr>
          <w:p w14:paraId="0BC22F3F">
            <w:pPr>
              <w:rPr>
                <w:rFonts w:ascii="Cambria" w:hAnsi="Cambria" w:eastAsiaTheme="minorEastAsia"/>
                <w:b/>
                <w:bCs/>
                <w:lang w:val="en-US"/>
              </w:rPr>
            </w:pPr>
            <w:r>
              <w:rPr>
                <w:rFonts w:ascii="Cambria" w:hAnsi="Cambria" w:eastAsiaTheme="minorEastAsia"/>
                <w:b/>
                <w:bCs/>
                <w:lang w:val="en-US"/>
              </w:rPr>
              <w:t>Discussion Context</w:t>
            </w:r>
          </w:p>
        </w:tc>
        <w:tc>
          <w:tcPr>
            <w:tcW w:w="2653" w:type="dxa"/>
          </w:tcPr>
          <w:p w14:paraId="339B37BD">
            <w:pPr>
              <w:rPr>
                <w:rFonts w:ascii="Cambria" w:hAnsi="Cambria" w:eastAsiaTheme="minorEastAsia"/>
                <w:b/>
                <w:bCs/>
                <w:lang w:val="en-US"/>
              </w:rPr>
            </w:pPr>
            <w:r>
              <w:rPr>
                <w:rFonts w:ascii="Cambria" w:hAnsi="Cambria" w:eastAsiaTheme="minorEastAsia"/>
                <w:b/>
                <w:bCs/>
                <w:lang w:val="en-US"/>
              </w:rPr>
              <w:t xml:space="preserve">Use cases </w:t>
            </w:r>
          </w:p>
        </w:tc>
        <w:tc>
          <w:tcPr>
            <w:tcW w:w="2330" w:type="dxa"/>
          </w:tcPr>
          <w:p w14:paraId="64B61BCF">
            <w:pPr>
              <w:rPr>
                <w:rFonts w:ascii="Cambria" w:hAnsi="Cambria" w:eastAsiaTheme="minorEastAsia"/>
                <w:b/>
                <w:bCs/>
                <w:lang w:val="en-US"/>
              </w:rPr>
            </w:pPr>
            <w:r>
              <w:rPr>
                <w:rFonts w:ascii="Cambria" w:hAnsi="Cambria" w:eastAsiaTheme="minorEastAsia"/>
                <w:b/>
                <w:bCs/>
                <w:lang w:val="en-US"/>
              </w:rPr>
              <w:t>Sensing modes</w:t>
            </w:r>
          </w:p>
        </w:tc>
        <w:tc>
          <w:tcPr>
            <w:tcW w:w="2330" w:type="dxa"/>
          </w:tcPr>
          <w:p w14:paraId="3955BF59">
            <w:pPr>
              <w:rPr>
                <w:rFonts w:ascii="Cambria" w:hAnsi="Cambria" w:eastAsiaTheme="minorEastAsia"/>
                <w:b/>
                <w:bCs/>
                <w:lang w:val="en-US"/>
              </w:rPr>
            </w:pPr>
            <w:r>
              <w:rPr>
                <w:rFonts w:ascii="Cambria" w:hAnsi="Cambria" w:eastAsiaTheme="minorEastAsia"/>
                <w:b/>
                <w:bCs/>
                <w:lang w:val="en-US"/>
              </w:rPr>
              <w:t>Impacted WGs</w:t>
            </w:r>
          </w:p>
        </w:tc>
      </w:tr>
      <w:tr w14:paraId="558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07" w:type="dxa"/>
          </w:tcPr>
          <w:p w14:paraId="28972178">
            <w:pPr>
              <w:rPr>
                <w:rFonts w:ascii="Cambria" w:hAnsi="Cambria" w:eastAsiaTheme="minorEastAsia"/>
                <w:lang w:val="en-US"/>
              </w:rPr>
            </w:pPr>
            <w:r>
              <w:rPr>
                <w:rFonts w:ascii="Cambria" w:hAnsi="Cambria" w:eastAsiaTheme="minorEastAsia"/>
                <w:lang w:val="en-US"/>
              </w:rPr>
              <w:t>5G-A ISAC</w:t>
            </w:r>
          </w:p>
        </w:tc>
        <w:tc>
          <w:tcPr>
            <w:tcW w:w="2653" w:type="dxa"/>
          </w:tcPr>
          <w:p w14:paraId="48EBD0A2">
            <w:pPr>
              <w:rPr>
                <w:rFonts w:ascii="Cambria" w:hAnsi="Cambria" w:eastAsiaTheme="minorEastAsia"/>
                <w:lang w:val="en-US"/>
              </w:rPr>
            </w:pPr>
            <w:r>
              <w:rPr>
                <w:rFonts w:ascii="Cambria" w:hAnsi="Cambria" w:eastAsiaTheme="minorEastAsia"/>
                <w:lang w:val="en-US"/>
              </w:rPr>
              <w:t>UAV detection</w:t>
            </w:r>
          </w:p>
        </w:tc>
        <w:tc>
          <w:tcPr>
            <w:tcW w:w="2330" w:type="dxa"/>
          </w:tcPr>
          <w:p w14:paraId="19AFC11A">
            <w:pPr>
              <w:rPr>
                <w:rFonts w:ascii="Cambria" w:hAnsi="Cambria" w:eastAsiaTheme="minorEastAsia"/>
                <w:lang w:val="en-US"/>
              </w:rPr>
            </w:pPr>
            <w:r>
              <w:rPr>
                <w:rFonts w:ascii="Cambria" w:hAnsi="Cambria" w:eastAsiaTheme="minorEastAsia"/>
                <w:lang w:val="en-US"/>
              </w:rPr>
              <w:t>gNB-monostatic</w:t>
            </w:r>
          </w:p>
        </w:tc>
        <w:tc>
          <w:tcPr>
            <w:tcW w:w="2330" w:type="dxa"/>
          </w:tcPr>
          <w:p w14:paraId="068FCBA7">
            <w:pPr>
              <w:rPr>
                <w:rFonts w:ascii="Cambria" w:hAnsi="Cambria" w:eastAsiaTheme="minorEastAsia"/>
                <w:lang w:val="en-US"/>
              </w:rPr>
            </w:pPr>
            <w:r>
              <w:rPr>
                <w:rFonts w:ascii="Cambria" w:hAnsi="Cambria" w:eastAsiaTheme="minorEastAsia"/>
                <w:lang w:val="en-US"/>
              </w:rPr>
              <w:t>RAN1, RAN3, SA2</w:t>
            </w:r>
          </w:p>
        </w:tc>
      </w:tr>
      <w:tr w14:paraId="14CC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07" w:type="dxa"/>
          </w:tcPr>
          <w:p w14:paraId="58D19376">
            <w:pPr>
              <w:rPr>
                <w:rFonts w:ascii="Cambria" w:hAnsi="Cambria" w:eastAsiaTheme="minorEastAsia"/>
                <w:lang w:val="en-US"/>
              </w:rPr>
            </w:pPr>
            <w:r>
              <w:rPr>
                <w:rFonts w:ascii="Cambria" w:hAnsi="Cambria" w:eastAsiaTheme="minorEastAsia"/>
                <w:lang w:val="en-US"/>
              </w:rPr>
              <w:t>6G ISAC</w:t>
            </w:r>
          </w:p>
        </w:tc>
        <w:tc>
          <w:tcPr>
            <w:tcW w:w="2653" w:type="dxa"/>
          </w:tcPr>
          <w:p w14:paraId="7B130402">
            <w:pPr>
              <w:rPr>
                <w:rFonts w:ascii="Cambria" w:hAnsi="Cambria" w:eastAsiaTheme="minorEastAsia"/>
                <w:lang w:val="en-US"/>
              </w:rPr>
            </w:pPr>
            <w:r>
              <w:rPr>
                <w:rFonts w:ascii="Cambria" w:hAnsi="Cambria" w:eastAsiaTheme="minorEastAsia"/>
                <w:lang w:val="en-US"/>
              </w:rPr>
              <w:t>Detection and/or tracking of passive objects, at least including UAVs, human, vehicles and AGVs (more use cases may be added in future)</w:t>
            </w:r>
          </w:p>
        </w:tc>
        <w:tc>
          <w:tcPr>
            <w:tcW w:w="2330" w:type="dxa"/>
          </w:tcPr>
          <w:p w14:paraId="238DC161">
            <w:pPr>
              <w:rPr>
                <w:rFonts w:ascii="Cambria" w:hAnsi="Cambria" w:eastAsiaTheme="minorEastAsia"/>
                <w:lang w:val="en-US"/>
              </w:rPr>
            </w:pPr>
            <w:r>
              <w:rPr>
                <w:rFonts w:ascii="Cambria" w:hAnsi="Cambria" w:eastAsiaTheme="minorEastAsia"/>
                <w:lang w:val="en-US"/>
              </w:rPr>
              <w:t>All sensing modes (UE are involved)</w:t>
            </w:r>
          </w:p>
        </w:tc>
        <w:tc>
          <w:tcPr>
            <w:tcW w:w="2330" w:type="dxa"/>
          </w:tcPr>
          <w:p w14:paraId="10407B6F">
            <w:pPr>
              <w:rPr>
                <w:rFonts w:ascii="Cambria" w:hAnsi="Cambria" w:eastAsiaTheme="minorEastAsia"/>
                <w:lang w:val="en-US"/>
              </w:rPr>
            </w:pPr>
            <w:r>
              <w:rPr>
                <w:rFonts w:ascii="Cambria" w:hAnsi="Cambria" w:eastAsiaTheme="minorEastAsia"/>
                <w:lang w:val="en-US"/>
              </w:rPr>
              <w:t>RAN1, RAN2, RAN3, SA2</w:t>
            </w:r>
          </w:p>
        </w:tc>
      </w:tr>
    </w:tbl>
    <w:p w14:paraId="3281EE9B"/>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977"/>
        <w:gridCol w:w="5682"/>
      </w:tblGrid>
      <w:tr w14:paraId="2D8D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72" w:type="dxa"/>
            <w:vAlign w:val="center"/>
          </w:tcPr>
          <w:p w14:paraId="2A10C24D">
            <w:pPr>
              <w:rPr>
                <w:rFonts w:ascii="Cambria" w:hAnsi="Cambria" w:eastAsiaTheme="minorEastAsia"/>
                <w:lang w:val="en-US"/>
              </w:rPr>
            </w:pPr>
          </w:p>
        </w:tc>
        <w:tc>
          <w:tcPr>
            <w:tcW w:w="2977" w:type="dxa"/>
          </w:tcPr>
          <w:p w14:paraId="5FFAC310">
            <w:pPr>
              <w:rPr>
                <w:rFonts w:ascii="Cambria" w:hAnsi="Cambria" w:eastAsiaTheme="minorEastAsia"/>
                <w:b/>
                <w:bCs/>
                <w:lang w:val="en-US"/>
              </w:rPr>
            </w:pPr>
            <w:r>
              <w:rPr>
                <w:rFonts w:ascii="Cambria" w:hAnsi="Cambria" w:eastAsiaTheme="minorEastAsia"/>
                <w:b/>
                <w:bCs/>
                <w:lang w:val="en-US"/>
              </w:rPr>
              <w:t>Scopes in RAN3</w:t>
            </w:r>
          </w:p>
        </w:tc>
        <w:tc>
          <w:tcPr>
            <w:tcW w:w="5682" w:type="dxa"/>
          </w:tcPr>
          <w:p w14:paraId="321A1468">
            <w:pPr>
              <w:rPr>
                <w:rFonts w:ascii="Cambria" w:hAnsi="Cambria" w:eastAsiaTheme="minorEastAsia"/>
                <w:b/>
                <w:bCs/>
                <w:lang w:val="en-US"/>
              </w:rPr>
            </w:pPr>
            <w:r>
              <w:rPr>
                <w:rFonts w:ascii="Cambria" w:hAnsi="Cambria" w:eastAsiaTheme="minorEastAsia"/>
                <w:b/>
                <w:bCs/>
                <w:lang w:val="en-US"/>
              </w:rPr>
              <w:t>Remarks</w:t>
            </w:r>
          </w:p>
        </w:tc>
      </w:tr>
      <w:tr w14:paraId="38ABB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72" w:type="dxa"/>
            <w:vMerge w:val="restart"/>
            <w:vAlign w:val="center"/>
          </w:tcPr>
          <w:p w14:paraId="2C623847">
            <w:pPr>
              <w:rPr>
                <w:rFonts w:ascii="Cambria" w:hAnsi="Cambria" w:eastAsiaTheme="minorEastAsia"/>
                <w:b/>
                <w:bCs/>
                <w:lang w:val="en-US"/>
              </w:rPr>
            </w:pPr>
            <w:r>
              <w:rPr>
                <w:rFonts w:ascii="Cambria" w:hAnsi="Cambria" w:eastAsiaTheme="minorEastAsia"/>
                <w:b/>
                <w:bCs/>
                <w:lang w:val="en-US"/>
              </w:rPr>
              <w:t>5G-A ISAC</w:t>
            </w:r>
          </w:p>
        </w:tc>
        <w:tc>
          <w:tcPr>
            <w:tcW w:w="2977" w:type="dxa"/>
          </w:tcPr>
          <w:p w14:paraId="4F15BEC7">
            <w:pPr>
              <w:rPr>
                <w:rFonts w:ascii="Cambria" w:hAnsi="Cambria" w:eastAsiaTheme="minorEastAsia"/>
                <w:lang w:val="en-US"/>
              </w:rPr>
            </w:pPr>
            <w:r>
              <w:rPr>
                <w:rFonts w:ascii="Cambria" w:hAnsi="Cambria" w:eastAsiaTheme="minorEastAsia"/>
                <w:lang w:val="en-US"/>
              </w:rPr>
              <w:t>Interface and protocol between RAN and Sensing Function (SF)</w:t>
            </w:r>
          </w:p>
        </w:tc>
        <w:tc>
          <w:tcPr>
            <w:tcW w:w="5682" w:type="dxa"/>
          </w:tcPr>
          <w:p w14:paraId="1044C0F9">
            <w:pPr>
              <w:rPr>
                <w:rFonts w:ascii="Cambria" w:hAnsi="Cambria" w:eastAsiaTheme="minorEastAsia"/>
                <w:lang w:val="en-US"/>
              </w:rPr>
            </w:pPr>
            <w:r>
              <w:rPr>
                <w:rFonts w:ascii="Cambria" w:hAnsi="Cambria" w:eastAsiaTheme="minorEastAsia"/>
                <w:lang w:val="en"/>
              </w:rPr>
              <w:t xml:space="preserve">Based on 5G architecture and protocol; new protocol or enhanced NG may be considered. The discussion differs from 6G </w:t>
            </w:r>
            <w:r>
              <w:rPr>
                <w:rFonts w:ascii="Cambria" w:hAnsi="Cambria" w:eastAsiaTheme="minorEastAsia"/>
                <w:lang w:val="en-US"/>
              </w:rPr>
              <w:t xml:space="preserve">=&gt; </w:t>
            </w:r>
            <w:r>
              <w:rPr>
                <w:rFonts w:ascii="Cambria" w:hAnsi="Cambria" w:eastAsiaTheme="minorEastAsia"/>
                <w:b/>
                <w:bCs/>
                <w:lang w:val="en-US"/>
              </w:rPr>
              <w:t>no overlap with 6G with different background</w:t>
            </w:r>
          </w:p>
        </w:tc>
      </w:tr>
      <w:tr w14:paraId="13F9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72" w:type="dxa"/>
            <w:vMerge w:val="continue"/>
            <w:vAlign w:val="center"/>
          </w:tcPr>
          <w:p w14:paraId="2F1B69EC">
            <w:pPr>
              <w:rPr>
                <w:rFonts w:ascii="Cambria" w:hAnsi="Cambria" w:eastAsiaTheme="minorEastAsia"/>
                <w:b/>
                <w:bCs/>
                <w:lang w:val="en-US"/>
              </w:rPr>
            </w:pPr>
          </w:p>
        </w:tc>
        <w:tc>
          <w:tcPr>
            <w:tcW w:w="2977" w:type="dxa"/>
          </w:tcPr>
          <w:p w14:paraId="49BB4E69">
            <w:pPr>
              <w:rPr>
                <w:rFonts w:ascii="Cambria" w:hAnsi="Cambria" w:eastAsiaTheme="minorEastAsia"/>
                <w:lang w:val="en-US"/>
              </w:rPr>
            </w:pPr>
            <w:r>
              <w:rPr>
                <w:rFonts w:ascii="Cambria" w:hAnsi="Cambria" w:eastAsiaTheme="minorEastAsia"/>
                <w:lang w:val="en-US"/>
              </w:rPr>
              <w:t>Procedure and signalling between RAN and SF for gNB-monostatic sensing.</w:t>
            </w:r>
          </w:p>
        </w:tc>
        <w:tc>
          <w:tcPr>
            <w:tcW w:w="5682" w:type="dxa"/>
          </w:tcPr>
          <w:p w14:paraId="31BBFD85">
            <w:pPr>
              <w:rPr>
                <w:rFonts w:ascii="Cambria" w:hAnsi="Cambria" w:eastAsiaTheme="minorEastAsia"/>
                <w:lang w:val="en-US"/>
              </w:rPr>
            </w:pPr>
            <w:r>
              <w:rPr>
                <w:rFonts w:ascii="Cambria" w:hAnsi="Cambria" w:eastAsiaTheme="minorEastAsia"/>
                <w:lang w:val="en"/>
              </w:rPr>
              <w:t>Sensing-specific procedures and signalling are</w:t>
            </w:r>
            <w:r>
              <w:rPr>
                <w:rFonts w:ascii="Cambria" w:hAnsi="Cambria" w:eastAsiaTheme="minorEastAsia"/>
                <w:b/>
                <w:bCs/>
                <w:lang w:val="en"/>
              </w:rPr>
              <w:t xml:space="preserve"> not expected to be discussed in RAN3 at the early stage of 6G</w:t>
            </w:r>
            <w:r>
              <w:rPr>
                <w:rFonts w:ascii="Cambria" w:hAnsi="Cambria" w:eastAsiaTheme="minorEastAsia"/>
                <w:lang w:val="en"/>
              </w:rPr>
              <w:t xml:space="preserve">, as sensing is not a direct RAN3 objective </w:t>
            </w:r>
          </w:p>
        </w:tc>
      </w:tr>
      <w:tr w14:paraId="7863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972" w:type="dxa"/>
            <w:vMerge w:val="restart"/>
            <w:vAlign w:val="center"/>
          </w:tcPr>
          <w:p w14:paraId="68FAAC25">
            <w:pPr>
              <w:rPr>
                <w:rFonts w:ascii="Cambria" w:hAnsi="Cambria" w:eastAsiaTheme="minorEastAsia"/>
                <w:b/>
                <w:bCs/>
                <w:lang w:val="en-US"/>
              </w:rPr>
            </w:pPr>
            <w:r>
              <w:rPr>
                <w:rFonts w:ascii="Cambria" w:hAnsi="Cambria" w:eastAsiaTheme="minorEastAsia"/>
                <w:b/>
                <w:bCs/>
                <w:lang w:val="en-US"/>
              </w:rPr>
              <w:t>6G ISAC</w:t>
            </w:r>
          </w:p>
        </w:tc>
        <w:tc>
          <w:tcPr>
            <w:tcW w:w="2977" w:type="dxa"/>
          </w:tcPr>
          <w:p w14:paraId="73AB06F7">
            <w:pPr>
              <w:rPr>
                <w:rFonts w:ascii="Cambria" w:hAnsi="Cambria" w:eastAsiaTheme="minorEastAsia"/>
                <w:lang w:val="en-US"/>
              </w:rPr>
            </w:pPr>
            <w:r>
              <w:rPr>
                <w:rFonts w:ascii="Cambria" w:hAnsi="Cambria" w:eastAsiaTheme="minorEastAsia"/>
                <w:lang w:val="en-US"/>
              </w:rPr>
              <w:t>Overall architecture and RAN-CN interface</w:t>
            </w:r>
          </w:p>
        </w:tc>
        <w:tc>
          <w:tcPr>
            <w:tcW w:w="5682" w:type="dxa"/>
          </w:tcPr>
          <w:p w14:paraId="033737C8">
            <w:pPr>
              <w:rPr>
                <w:rFonts w:ascii="Cambria" w:hAnsi="Cambria" w:eastAsiaTheme="minorEastAsia"/>
                <w:lang w:val="en-US"/>
              </w:rPr>
            </w:pPr>
            <w:r>
              <w:rPr>
                <w:rFonts w:ascii="Cambria" w:hAnsi="Cambria" w:eastAsiaTheme="minorEastAsia"/>
                <w:lang w:val="en"/>
              </w:rPr>
              <w:t>Considering that the UE is involved, the overall architecture design will depend on progress in RAN2 and SA2. RAN3 may take sensing requirements into account when discussing the RAN–CN interface and protocol, while detailed sensing aspects are expected to follow RAN2 and SA2 outcomes.</w:t>
            </w:r>
          </w:p>
        </w:tc>
      </w:tr>
      <w:tr w14:paraId="4213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trPr>
        <w:tc>
          <w:tcPr>
            <w:tcW w:w="972" w:type="dxa"/>
            <w:vMerge w:val="continue"/>
          </w:tcPr>
          <w:p w14:paraId="21D057E0">
            <w:pPr>
              <w:rPr>
                <w:rFonts w:ascii="Cambria" w:hAnsi="Cambria" w:eastAsiaTheme="minorEastAsia"/>
                <w:lang w:val="en-US"/>
              </w:rPr>
            </w:pPr>
          </w:p>
        </w:tc>
        <w:tc>
          <w:tcPr>
            <w:tcW w:w="2977" w:type="dxa"/>
          </w:tcPr>
          <w:p w14:paraId="50C7DE0D">
            <w:pPr>
              <w:rPr>
                <w:rFonts w:ascii="Cambria" w:hAnsi="Cambria" w:eastAsiaTheme="minorEastAsia"/>
                <w:lang w:val="en-US"/>
              </w:rPr>
            </w:pPr>
            <w:r>
              <w:rPr>
                <w:rFonts w:ascii="Cambria" w:hAnsi="Cambria" w:eastAsiaTheme="minorEastAsia"/>
                <w:lang w:val="en-US"/>
              </w:rPr>
              <w:t>RAN-CN function split</w:t>
            </w:r>
          </w:p>
        </w:tc>
        <w:tc>
          <w:tcPr>
            <w:tcW w:w="5682" w:type="dxa"/>
          </w:tcPr>
          <w:p w14:paraId="1E9E82F9">
            <w:pPr>
              <w:rPr>
                <w:rFonts w:ascii="Cambria" w:hAnsi="Cambria" w:eastAsiaTheme="minorEastAsia"/>
                <w:lang w:val="en-US"/>
              </w:rPr>
            </w:pPr>
            <w:r>
              <w:rPr>
                <w:rFonts w:ascii="Cambria" w:hAnsi="Cambria" w:eastAsiaTheme="minorEastAsia"/>
                <w:lang w:val="en"/>
              </w:rPr>
              <w:t xml:space="preserve">RAN3 may take into account the need for sensing-related functionality when discussing the RAN–CN function split. However, </w:t>
            </w:r>
            <w:r>
              <w:rPr>
                <w:rFonts w:ascii="Cambria" w:hAnsi="Cambria" w:eastAsiaTheme="minorEastAsia"/>
                <w:b/>
                <w:bCs/>
                <w:lang w:val="en"/>
              </w:rPr>
              <w:t>detailed aspects (e.g., measurement configuration/reporting, UE selection, data processing) should be deferred until further progress is made in RAN2 and SA2.</w:t>
            </w:r>
          </w:p>
        </w:tc>
      </w:tr>
      <w:tr w14:paraId="6F8B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trPr>
        <w:tc>
          <w:tcPr>
            <w:tcW w:w="972" w:type="dxa"/>
            <w:vMerge w:val="continue"/>
          </w:tcPr>
          <w:p w14:paraId="7A7D65FD">
            <w:pPr>
              <w:rPr>
                <w:rFonts w:ascii="Cambria" w:hAnsi="Cambria" w:eastAsiaTheme="minorEastAsia"/>
                <w:lang w:val="en-US"/>
              </w:rPr>
            </w:pPr>
          </w:p>
        </w:tc>
        <w:tc>
          <w:tcPr>
            <w:tcW w:w="2977" w:type="dxa"/>
          </w:tcPr>
          <w:p w14:paraId="37BE94D2">
            <w:pPr>
              <w:rPr>
                <w:rFonts w:ascii="Cambria" w:hAnsi="Cambria" w:eastAsiaTheme="minorEastAsia"/>
                <w:lang w:val="en-US"/>
              </w:rPr>
            </w:pPr>
            <w:r>
              <w:rPr>
                <w:rFonts w:ascii="Cambria" w:hAnsi="Cambria" w:eastAsiaTheme="minorEastAsia"/>
                <w:lang w:val="en-US"/>
              </w:rPr>
              <w:t>Procedure and signalling between RAN and SF for all sensing modes.</w:t>
            </w:r>
          </w:p>
        </w:tc>
        <w:tc>
          <w:tcPr>
            <w:tcW w:w="5682" w:type="dxa"/>
          </w:tcPr>
          <w:p w14:paraId="25600426">
            <w:pPr>
              <w:rPr>
                <w:rFonts w:ascii="Cambria" w:hAnsi="Cambria" w:eastAsiaTheme="minorEastAsia"/>
                <w:lang w:val="en-US"/>
              </w:rPr>
            </w:pPr>
            <w:r>
              <w:rPr>
                <w:rFonts w:ascii="Cambria" w:hAnsi="Cambria" w:eastAsiaTheme="minorEastAsia"/>
                <w:lang w:val="en"/>
              </w:rPr>
              <w:t xml:space="preserve">RAN3 may consider support for sensing modes beyond gNB monostatic once RAN2/SA2 have identified the general procedures for them. In the early stages, </w:t>
            </w:r>
            <w:r>
              <w:rPr>
                <w:rFonts w:ascii="Cambria" w:hAnsi="Cambria" w:eastAsiaTheme="minorEastAsia"/>
                <w:b/>
                <w:bCs/>
                <w:lang w:val="en"/>
              </w:rPr>
              <w:t>such procedure discussions are not expected in RAN3 until further progress is made in RAN2 and SA2.</w:t>
            </w:r>
          </w:p>
        </w:tc>
      </w:tr>
    </w:tbl>
    <w:p w14:paraId="64380406">
      <w:pPr>
        <w:rPr>
          <w:rFonts w:eastAsia="Times New Roman"/>
          <w:highlight w:val="green"/>
          <w:lang w:val="en-US"/>
        </w:rPr>
      </w:pPr>
    </w:p>
    <w:p w14:paraId="15811B14">
      <w:pPr>
        <w:rPr>
          <w:rFonts w:eastAsia="Times New Roman"/>
          <w:b/>
          <w:bCs/>
          <w:lang w:val="en-US" w:eastAsia="zh-CN"/>
        </w:rPr>
      </w:pPr>
      <w:r>
        <w:rPr>
          <w:rFonts w:hint="eastAsia" w:eastAsia="Times New Roman"/>
          <w:b/>
          <w:bCs/>
          <w:lang w:val="en-US" w:eastAsia="zh-CN"/>
        </w:rPr>
        <w:t>Observation 1</w:t>
      </w:r>
      <w:r>
        <w:rPr>
          <w:rFonts w:eastAsia="Times New Roman"/>
          <w:b/>
          <w:bCs/>
          <w:lang w:val="en-US" w:eastAsia="zh-CN"/>
        </w:rPr>
        <w:t>1</w:t>
      </w:r>
      <w:r>
        <w:rPr>
          <w:rFonts w:hint="eastAsia" w:eastAsia="Times New Roman"/>
          <w:b/>
          <w:bCs/>
          <w:lang w:val="en-US" w:eastAsia="zh-CN"/>
        </w:rPr>
        <w:t>c, The discussions on interfaces and protocols for 5G</w:t>
      </w:r>
      <w:r>
        <w:rPr>
          <w:rFonts w:eastAsia="Times New Roman"/>
          <w:b/>
          <w:bCs/>
          <w:lang w:val="en-US" w:eastAsia="zh-CN"/>
        </w:rPr>
        <w:t>-</w:t>
      </w:r>
      <w:r>
        <w:rPr>
          <w:rFonts w:hint="eastAsia" w:eastAsia="Times New Roman"/>
          <w:b/>
          <w:bCs/>
          <w:lang w:val="en-US" w:eastAsia="zh-CN"/>
        </w:rPr>
        <w:t>A ISAC differ from those for 6G ISAC due to distinct contextual backgrounds.</w:t>
      </w:r>
    </w:p>
    <w:p w14:paraId="4CBB96BA">
      <w:pPr>
        <w:rPr>
          <w:rFonts w:eastAsia="Times New Roman"/>
          <w:b/>
          <w:bCs/>
          <w:lang w:val="en-US" w:eastAsia="zh-CN"/>
        </w:rPr>
      </w:pPr>
      <w:r>
        <w:rPr>
          <w:rFonts w:hint="eastAsia" w:eastAsia="Times New Roman"/>
          <w:b/>
          <w:bCs/>
          <w:lang w:val="en-US" w:eastAsia="zh-CN"/>
        </w:rPr>
        <w:t>Observation 1</w:t>
      </w:r>
      <w:r>
        <w:rPr>
          <w:rFonts w:eastAsia="Times New Roman"/>
          <w:b/>
          <w:bCs/>
          <w:lang w:val="en-US" w:eastAsia="zh-CN"/>
        </w:rPr>
        <w:t>1</w:t>
      </w:r>
      <w:r>
        <w:rPr>
          <w:rFonts w:hint="eastAsia" w:eastAsia="Times New Roman"/>
          <w:b/>
          <w:bCs/>
          <w:lang w:val="en-US" w:eastAsia="zh-CN"/>
        </w:rPr>
        <w:t>d, Procedures and signaling aspects are not expected to be addressed by RAN3 in the early stages, thereby avoiding overlap with the 5G</w:t>
      </w:r>
      <w:r>
        <w:rPr>
          <w:rFonts w:eastAsia="Times New Roman"/>
          <w:b/>
          <w:bCs/>
          <w:lang w:val="en-US" w:eastAsia="zh-CN"/>
        </w:rPr>
        <w:t>-</w:t>
      </w:r>
      <w:r>
        <w:rPr>
          <w:rFonts w:hint="eastAsia" w:eastAsia="Times New Roman"/>
          <w:b/>
          <w:bCs/>
          <w:lang w:val="en-US" w:eastAsia="zh-CN"/>
        </w:rPr>
        <w:t>A ISAC discussions.</w:t>
      </w:r>
    </w:p>
    <w:p w14:paraId="46BB094E">
      <w:pPr>
        <w:rPr>
          <w:rFonts w:eastAsia="Times New Roman"/>
          <w:b/>
          <w:bCs/>
          <w:lang w:val="en-US" w:eastAsia="zh-CN"/>
        </w:rPr>
      </w:pPr>
    </w:p>
    <w:p w14:paraId="0AE2EB00">
      <w:pPr>
        <w:rPr>
          <w:rFonts w:eastAsia="Times New Roman"/>
        </w:rPr>
      </w:pPr>
      <w:r>
        <w:rPr>
          <w:rFonts w:eastAsia="Times New Roman"/>
        </w:rPr>
        <w:t>Building on the observations and scope analysis above, it may be helpful to outline possible way forward for RAN3’s role in 6G ISAC. The following proposals are offered to stimulate discussion, focusing on scope boundaries at the early stage and on lessons learned from previous releases regarding leadership and coordination.</w:t>
      </w:r>
    </w:p>
    <w:p w14:paraId="6D4E8847">
      <w:r>
        <w:rPr>
          <w:b/>
          <w:bCs/>
          <w:lang w:val="en-US"/>
        </w:rPr>
        <w:t xml:space="preserve">Proposal 11a: </w:t>
      </w:r>
      <w:r>
        <w:rPr>
          <w:b/>
          <w:bCs/>
        </w:rPr>
        <w:t>At the early stage of the 6G ISAC study, RAN3 scope may focus on general architecture and interface aspects, while sensing-specific procedure and protocol work should be deferred until sufficient input is available from RAN2 and SA2</w:t>
      </w:r>
      <w:r>
        <w:t>.</w:t>
      </w:r>
    </w:p>
    <w:p w14:paraId="3E5D4F99">
      <w:pPr>
        <w:pStyle w:val="2"/>
      </w:pPr>
      <w:r>
        <w:t>3</w:t>
      </w:r>
      <w:r>
        <w:tab/>
      </w:r>
      <w:r>
        <w:t>Conclusion</w:t>
      </w:r>
    </w:p>
    <w:p w14:paraId="5FAA4CB2">
      <w:pPr>
        <w:rPr>
          <w:b/>
          <w:bCs/>
          <w:lang w:val="en-US"/>
        </w:rPr>
      </w:pPr>
      <w:r>
        <w:rPr>
          <w:b/>
          <w:bCs/>
          <w:lang w:val="en-US"/>
        </w:rPr>
        <w:t>On General principles/guidance for 6G</w:t>
      </w:r>
    </w:p>
    <w:p w14:paraId="045B601A">
      <w:pPr>
        <w:ind w:left="386" w:leftChars="193"/>
        <w:rPr>
          <w:rFonts w:eastAsia="Times New Roman"/>
          <w:b/>
          <w:bCs/>
          <w:lang w:val="en-US"/>
        </w:rPr>
      </w:pPr>
      <w:r>
        <w:rPr>
          <w:rFonts w:eastAsia="Times New Roman"/>
          <w:b/>
          <w:bCs/>
        </w:rPr>
        <w:t>Observation 1: In the development of 5G, multiple options for the same feature were often introduced as compromises between companies. This approach increased the standards workload, added complexity for both UE and network implementations, and led to market fragmentation</w:t>
      </w:r>
    </w:p>
    <w:p w14:paraId="708292F4">
      <w:pPr>
        <w:ind w:left="386" w:leftChars="193" w:firstLine="1"/>
        <w:rPr>
          <w:rFonts w:eastAsia="Times New Roman"/>
          <w:b/>
          <w:bCs/>
          <w:lang w:val="en-US"/>
        </w:rPr>
      </w:pPr>
      <w:r>
        <w:rPr>
          <w:rFonts w:eastAsia="Times New Roman"/>
          <w:b/>
          <w:bCs/>
          <w:lang w:val="en-US"/>
        </w:rPr>
        <w:t>Proposal 1: In the 6G RAN3 study, RAN3 should aim to simplify the system design for 6G</w:t>
      </w:r>
    </w:p>
    <w:p w14:paraId="5C4C9200">
      <w:pPr>
        <w:numPr>
          <w:ilvl w:val="0"/>
          <w:numId w:val="4"/>
        </w:numPr>
        <w:tabs>
          <w:tab w:val="left" w:pos="940"/>
          <w:tab w:val="clear" w:pos="720"/>
        </w:tabs>
        <w:ind w:left="528" w:leftChars="264"/>
        <w:rPr>
          <w:rFonts w:eastAsia="Times New Roman"/>
          <w:b/>
          <w:bCs/>
          <w:lang w:val="en-US"/>
        </w:rPr>
      </w:pPr>
      <w:r>
        <w:rPr>
          <w:rFonts w:eastAsia="Times New Roman"/>
          <w:b/>
          <w:bCs/>
          <w:lang w:val="en-US"/>
        </w:rPr>
        <w:t>Adopt a common design to meet different service requirements as much as possible.</w:t>
      </w:r>
    </w:p>
    <w:p w14:paraId="0089F17B">
      <w:pPr>
        <w:numPr>
          <w:ilvl w:val="0"/>
          <w:numId w:val="4"/>
        </w:numPr>
        <w:tabs>
          <w:tab w:val="left" w:pos="940"/>
          <w:tab w:val="clear" w:pos="720"/>
        </w:tabs>
        <w:ind w:left="528" w:leftChars="264"/>
        <w:rPr>
          <w:rFonts w:eastAsia="Times New Roman"/>
          <w:b/>
          <w:bCs/>
          <w:lang w:val="en-US"/>
        </w:rPr>
      </w:pPr>
      <w:r>
        <w:rPr>
          <w:rFonts w:eastAsia="Times New Roman"/>
          <w:b/>
          <w:bCs/>
          <w:lang w:val="en-US"/>
        </w:rPr>
        <w:t>Avoid introducing multiple options for the same functionalities.</w:t>
      </w:r>
    </w:p>
    <w:p w14:paraId="44D270A3">
      <w:pPr>
        <w:numPr>
          <w:ilvl w:val="0"/>
          <w:numId w:val="4"/>
        </w:numPr>
        <w:tabs>
          <w:tab w:val="left" w:pos="940"/>
          <w:tab w:val="clear" w:pos="720"/>
        </w:tabs>
        <w:ind w:left="528" w:leftChars="264"/>
        <w:rPr>
          <w:rFonts w:eastAsia="Times New Roman"/>
          <w:b/>
          <w:bCs/>
          <w:lang w:val="en-US"/>
        </w:rPr>
      </w:pPr>
      <w:r>
        <w:rPr>
          <w:rFonts w:eastAsia="Times New Roman"/>
          <w:b/>
          <w:bCs/>
          <w:lang w:val="en-US"/>
        </w:rPr>
        <w:t>Ensure that supporting multiple options is not taken as a compromise way forward.</w:t>
      </w:r>
    </w:p>
    <w:p w14:paraId="7F3484FC">
      <w:pPr>
        <w:rPr>
          <w:b/>
          <w:bCs/>
        </w:rPr>
      </w:pPr>
      <w:r>
        <w:rPr>
          <w:b/>
          <w:bCs/>
        </w:rPr>
        <w:t>On Architectural Considerations for 6G</w:t>
      </w:r>
    </w:p>
    <w:p w14:paraId="021245C5">
      <w:pPr>
        <w:spacing w:before="240" w:after="240"/>
        <w:ind w:left="440"/>
        <w:rPr>
          <w:rFonts w:eastAsia="Times New Roman"/>
          <w:b/>
          <w:color w:val="000000"/>
          <w:lang w:val="en-US"/>
        </w:rPr>
      </w:pPr>
      <w:r>
        <w:rPr>
          <w:rFonts w:eastAsia="Times New Roman"/>
          <w:b/>
          <w:color w:val="000000"/>
          <w:lang w:val="en-US"/>
        </w:rPr>
        <w:t>Observation 2 (Cloud-based): Cloud-RAN and vRAN deployments have already been addressed in 5G, primarily at CU/DU split boundaries. While this provides virtualization and flexible hosting, current RAN3 procedures are largely designed around coarse-grained distribution and assume relatively static placement of functions.</w:t>
      </w:r>
    </w:p>
    <w:p w14:paraId="120B59EE">
      <w:pPr>
        <w:spacing w:before="240" w:after="240"/>
        <w:ind w:left="400" w:leftChars="200"/>
        <w:rPr>
          <w:rFonts w:eastAsia="Times New Roman"/>
          <w:b/>
          <w:color w:val="000000"/>
          <w:lang w:val="en-US"/>
        </w:rPr>
      </w:pPr>
      <w:r>
        <w:rPr>
          <w:rFonts w:eastAsia="Times New Roman"/>
          <w:b/>
          <w:color w:val="000000"/>
          <w:lang w:val="en-US"/>
        </w:rPr>
        <w:t>Proposal 2 (Cloud-based): The RAN architecture should support deployment of functions in a cloud-based environment, including finer-grained distribution, operation on heterogeneous computing platforms, dynamic scaling and relocation of functions, and coordination with multi-domain orchestration.</w:t>
      </w:r>
    </w:p>
    <w:p w14:paraId="7836CF8A">
      <w:pPr>
        <w:spacing w:before="240" w:after="240"/>
        <w:ind w:left="400" w:leftChars="200"/>
        <w:rPr>
          <w:rFonts w:eastAsia="Times New Roman"/>
          <w:b/>
          <w:bCs/>
          <w:lang w:val="en-US"/>
        </w:rPr>
      </w:pPr>
      <w:r>
        <w:rPr>
          <w:rFonts w:eastAsia="Times New Roman"/>
          <w:b/>
          <w:bCs/>
          <w:lang w:val="en-US"/>
        </w:rPr>
        <w:t>Observation 3 (AI/ML): In NR, initial AI/ML support has been studied (e.g., AI-assisted CSI feedback, AI-based mobility optimization, and the RAN3 AI/ML framework). However, such support remains function-specific and does not provide generalized or native mechanisms across reference points.</w:t>
      </w:r>
    </w:p>
    <w:p w14:paraId="1DE09656">
      <w:pPr>
        <w:spacing w:before="240" w:after="240"/>
        <w:ind w:left="400" w:leftChars="200"/>
        <w:rPr>
          <w:rFonts w:eastAsia="Times New Roman"/>
          <w:b/>
          <w:color w:val="000000"/>
          <w:lang w:val="en-US"/>
        </w:rPr>
      </w:pPr>
      <w:r>
        <w:rPr>
          <w:rFonts w:eastAsia="Times New Roman"/>
          <w:b/>
          <w:bCs/>
          <w:lang w:val="en-US"/>
        </w:rPr>
        <w:t>Proposal 3 (AI/ML): The RAN architecture should support AI/ML-native operation in order to enable consistent and interoperable use of AI/ML across RAN functions.</w:t>
      </w:r>
    </w:p>
    <w:p w14:paraId="6F063CD7">
      <w:pPr>
        <w:ind w:left="400" w:leftChars="200"/>
        <w:rPr>
          <w:b/>
          <w:bCs/>
          <w:lang w:val="en-US"/>
        </w:rPr>
      </w:pPr>
      <w:r>
        <w:rPr>
          <w:b/>
          <w:bCs/>
          <w:lang w:val="en-US"/>
        </w:rPr>
        <w:t>Observation 4 (Functional splits): Functional splits in NR (CU–DU, CP–UP) provided architectural flexibility, but their practical deployment has been uneven, with CP–UP separation (E1) seeing limited adoption.</w:t>
      </w:r>
    </w:p>
    <w:p w14:paraId="6D160D8A">
      <w:pPr>
        <w:ind w:left="400" w:leftChars="200"/>
        <w:rPr>
          <w:lang w:val="en-US"/>
        </w:rPr>
      </w:pPr>
      <w:r>
        <w:rPr>
          <w:b/>
          <w:bCs/>
          <w:lang w:val="en-US"/>
        </w:rPr>
        <w:t>Proposal 4 (Functional splits): The 6G RAN architecture should preserve the principle of functional separation established in NR, while reassessing the necessity of CP–UP split and confirming whether existing coordination mechanisms remain adequate for distributed deployments.</w:t>
      </w:r>
    </w:p>
    <w:p w14:paraId="10389D53">
      <w:pPr>
        <w:ind w:left="400" w:leftChars="200"/>
        <w:rPr>
          <w:b/>
          <w:bCs/>
          <w:lang w:val="en-US"/>
        </w:rPr>
      </w:pPr>
      <w:r>
        <w:rPr>
          <w:b/>
          <w:bCs/>
          <w:lang w:val="en-US"/>
        </w:rPr>
        <w:t>Observation 5 (NTN): In NR, NTN support has been introduced, but integration with TN remains limited and primarily mobility-driven. Broader interworking aspects have not been fully addressed.</w:t>
      </w:r>
    </w:p>
    <w:p w14:paraId="34D1A4D5">
      <w:pPr>
        <w:ind w:left="400" w:leftChars="200"/>
        <w:rPr>
          <w:b/>
          <w:bCs/>
          <w:lang w:val="en-US"/>
        </w:rPr>
      </w:pPr>
      <w:r>
        <w:rPr>
          <w:b/>
          <w:bCs/>
          <w:lang w:val="en-US"/>
        </w:rPr>
        <w:br w:type="textWrapping"/>
      </w:r>
      <w:r>
        <w:rPr>
          <w:b/>
          <w:bCs/>
          <w:lang w:val="en-US"/>
        </w:rPr>
        <w:t>Proposal 5 (NTN): The RAN architecture should support integration of TN and NTN, ensuring mobility, session continuity, and context handling across both domains in an efficient and interoperable manner.</w:t>
      </w:r>
    </w:p>
    <w:p w14:paraId="35080DE6">
      <w:pPr>
        <w:ind w:left="400" w:leftChars="200"/>
        <w:rPr>
          <w:b/>
          <w:bCs/>
          <w:lang w:val="en-US"/>
        </w:rPr>
      </w:pPr>
      <w:r>
        <w:rPr>
          <w:b/>
          <w:bCs/>
          <w:lang w:val="en-US"/>
        </w:rPr>
        <w:t>Observation 6 (ISAC): In NR, measurement and reporting procedures focus on communication performance, with initial studies on sensing-related information ongoing in Rel-20. For 6G, native architectural support for sensing integration will be needed.</w:t>
      </w:r>
    </w:p>
    <w:p w14:paraId="04B0FCDD">
      <w:pPr>
        <w:ind w:left="400" w:leftChars="200"/>
        <w:rPr>
          <w:b/>
          <w:bCs/>
          <w:lang w:val="en-US"/>
        </w:rPr>
      </w:pPr>
      <w:r>
        <w:rPr>
          <w:b/>
          <w:bCs/>
          <w:lang w:val="en-US"/>
        </w:rPr>
        <w:t>Proposal 6 (ISAC): The RAN architecture should support native integration of ISAC, ensuring that reference points and procedures can handle sensing alongside other 6G service requirements</w:t>
      </w:r>
    </w:p>
    <w:p w14:paraId="1DB35DEC">
      <w:pPr>
        <w:ind w:left="400" w:leftChars="200"/>
        <w:rPr>
          <w:b/>
          <w:bCs/>
          <w:lang w:val="en-US"/>
        </w:rPr>
      </w:pPr>
      <w:r>
        <w:rPr>
          <w:b/>
          <w:bCs/>
          <w:lang w:val="en-US"/>
        </w:rPr>
        <w:t>Observation 7 (NES): In NR, network energy saving relies mainly on localized features such as TRP muting, with limited procedure-level support across nodes. For 6G, and in line with the SID objective of energy efficiency and energy saving (for network and device), architectural support may be required for more coordinated energy saving while maintaining service continuity.</w:t>
      </w:r>
    </w:p>
    <w:p w14:paraId="692C68DD">
      <w:pPr>
        <w:ind w:left="400" w:leftChars="200"/>
        <w:rPr>
          <w:lang w:val="en-US"/>
        </w:rPr>
      </w:pPr>
      <w:r>
        <w:rPr>
          <w:b/>
          <w:bCs/>
          <w:lang w:val="en-US"/>
        </w:rPr>
        <w:t>Proposal 7 (NES): The RAN architecture should support coordinated energy saving mechanisms across nodes, including retention of UE and bearer information and efficient resume procedures, in order to achieve energy efficiency while ensuring service continuity</w:t>
      </w:r>
      <w:r>
        <w:rPr>
          <w:lang w:val="en-US"/>
        </w:rPr>
        <w:t>.</w:t>
      </w:r>
    </w:p>
    <w:p w14:paraId="696B9975">
      <w:pPr>
        <w:ind w:left="400" w:leftChars="200"/>
        <w:rPr>
          <w:b/>
          <w:bCs/>
          <w:lang w:val="en-US"/>
        </w:rPr>
      </w:pPr>
      <w:r>
        <w:rPr>
          <w:b/>
          <w:bCs/>
          <w:lang w:val="en-US"/>
        </w:rPr>
        <w:t>Observation 8 (Service Awareness &amp; Resilience): In NR, reference point procedures provide limited support for conveying service-related context or for resilience under node or link failures. The SID identifies service support, resilience, and reliability as areas requiring further study in 6G.</w:t>
      </w:r>
    </w:p>
    <w:p w14:paraId="19854C7D">
      <w:pPr>
        <w:ind w:left="400" w:leftChars="200"/>
        <w:rPr>
          <w:b/>
          <w:bCs/>
          <w:lang w:val="en-US"/>
        </w:rPr>
      </w:pPr>
      <w:r>
        <w:rPr>
          <w:b/>
          <w:bCs/>
          <w:lang w:val="en-US"/>
        </w:rPr>
        <w:t>Proposal 8 (Service Awareness &amp; Resilience): The RAN architecture should support enhanced service awareness and resilience, including the ability to convey service-related context and to maintain continuity under fault conditions and diverse deployment scenarios.</w:t>
      </w:r>
    </w:p>
    <w:p w14:paraId="47D6CD36">
      <w:pPr>
        <w:spacing w:before="240" w:after="240"/>
        <w:ind w:left="400" w:leftChars="200"/>
        <w:rPr>
          <w:rFonts w:eastAsia="Times New Roman"/>
          <w:b/>
          <w:bCs/>
          <w:lang w:val="en-US"/>
        </w:rPr>
      </w:pPr>
      <w:r>
        <w:rPr>
          <w:rFonts w:eastAsia="Times New Roman"/>
          <w:b/>
          <w:bCs/>
          <w:lang w:val="en-US"/>
        </w:rPr>
        <w:t>Observation 9 (Migration): Migration from NR to 6GR will require procedure-level support for mobility, interoperability, and deployment flexibility across multiple scenarios. In addition, further migration options are expected to be studied in more detail during the 6G Radio SI.</w:t>
      </w:r>
    </w:p>
    <w:p w14:paraId="271E3940">
      <w:pPr>
        <w:spacing w:before="240" w:after="240"/>
        <w:ind w:left="400" w:leftChars="200"/>
        <w:rPr>
          <w:rFonts w:eastAsia="Times New Roman"/>
          <w:b/>
          <w:bCs/>
          <w:lang w:val="en-US"/>
        </w:rPr>
      </w:pPr>
      <w:r>
        <w:rPr>
          <w:rFonts w:eastAsia="Times New Roman"/>
          <w:b/>
          <w:bCs/>
          <w:lang w:val="en-US"/>
        </w:rPr>
        <w:t>Proposal 9 (Migration): The RAN architecture should support migration and deployment flexibility, ensuring that new 6G functions can interwork efficiently with NR during transition phases and that multiple migration scenarios can be accommodated.</w:t>
      </w:r>
    </w:p>
    <w:p w14:paraId="75CE0B74">
      <w:pPr>
        <w:spacing w:before="240" w:after="240"/>
        <w:rPr>
          <w:rFonts w:eastAsia="Times New Roman"/>
          <w:b/>
          <w:bCs/>
          <w:lang w:val="en-US"/>
        </w:rPr>
      </w:pPr>
      <w:r>
        <w:rPr>
          <w:rFonts w:eastAsia="Times New Roman"/>
          <w:b/>
          <w:bCs/>
          <w:lang w:val="en-US"/>
        </w:rPr>
        <w:t>On Interfaces and Dependencies on SA2</w:t>
      </w:r>
    </w:p>
    <w:p w14:paraId="265A39EF">
      <w:pPr>
        <w:ind w:left="400" w:leftChars="200"/>
        <w:rPr>
          <w:b/>
          <w:bCs/>
          <w:lang w:val="en-US"/>
        </w:rPr>
      </w:pPr>
      <w:r>
        <w:rPr>
          <w:b/>
          <w:bCs/>
          <w:lang w:val="en-US"/>
        </w:rPr>
        <w:t>Observation 10: In NR, RAN–CN interfaces (NG-C/NG-U) were defined with a clear division of responsibilities between RAN3 and SA2. For 6G, broader topics such as service awareness, resilience, and NTN–TN interworking will require tighter coordination.</w:t>
      </w:r>
    </w:p>
    <w:p w14:paraId="45F7A08B">
      <w:pPr>
        <w:ind w:left="400" w:leftChars="200"/>
        <w:rPr>
          <w:b/>
          <w:bCs/>
          <w:lang w:val="en-US"/>
        </w:rPr>
      </w:pPr>
      <w:r>
        <w:rPr>
          <w:b/>
          <w:bCs/>
          <w:lang w:val="en-US"/>
        </w:rPr>
        <w:t>Proposal 10: The RAN architecture should support efficient Core–RAN interworking while maintaining clear separation of responsibilities, with close alignment between RAN3 and SA2 on any required evolution of RAN–CN interfaces.</w:t>
      </w:r>
    </w:p>
    <w:p w14:paraId="788A72D3">
      <w:pPr>
        <w:rPr>
          <w:b/>
          <w:bCs/>
          <w:lang w:val="en-US"/>
        </w:rPr>
      </w:pPr>
      <w:r>
        <w:rPr>
          <w:b/>
          <w:bCs/>
          <w:lang w:val="en-US"/>
        </w:rPr>
        <w:t>Inter-WG Coordination on 6G-Sensing</w:t>
      </w:r>
    </w:p>
    <w:p w14:paraId="459E763E">
      <w:pPr>
        <w:ind w:left="400" w:leftChars="200"/>
        <w:rPr>
          <w:b/>
          <w:bCs/>
          <w:lang w:val="en-US"/>
        </w:rPr>
      </w:pPr>
      <w:r>
        <w:rPr>
          <w:b/>
          <w:bCs/>
          <w:lang w:val="en-US"/>
        </w:rPr>
        <w:t>Observation 11a: In Rel-20, the ISAC SI work was split between RAN1 and RAN3. For 6G sensing studies, however, the work is split across RAN1, RAN2, and RAN3, thereby increasing the need for clear role definitions and inter-WG coordination.</w:t>
      </w:r>
    </w:p>
    <w:p w14:paraId="43155A82">
      <w:pPr>
        <w:ind w:left="284"/>
        <w:rPr>
          <w:lang w:val="en-US"/>
        </w:rPr>
      </w:pPr>
      <w:r>
        <w:rPr>
          <w:b/>
          <w:bCs/>
          <w:lang w:val="en-US"/>
        </w:rPr>
        <w:t xml:space="preserve">Observation 11b: The Rel-16 positioning precedent shows that architectural and procedural aspects were led </w:t>
      </w:r>
      <w:r>
        <w:rPr>
          <w:rFonts w:hint="eastAsia"/>
          <w:b/>
          <w:bCs/>
          <w:lang w:val="en-US" w:eastAsia="zh-CN"/>
        </w:rPr>
        <w:t>by RAN</w:t>
      </w:r>
      <w:r>
        <w:rPr>
          <w:b/>
          <w:bCs/>
          <w:lang w:val="en-US" w:eastAsia="zh-CN"/>
        </w:rPr>
        <w:t xml:space="preserve">2, </w:t>
      </w:r>
      <w:r>
        <w:rPr>
          <w:b/>
          <w:bCs/>
          <w:lang w:val="en-US"/>
        </w:rPr>
        <w:t>with RAN3 acting in a supporting role.</w:t>
      </w:r>
      <w:bookmarkStart w:id="4" w:name="_GoBack"/>
      <w:bookmarkEnd w:id="4"/>
    </w:p>
    <w:p w14:paraId="434AB952">
      <w:pPr>
        <w:ind w:left="400" w:leftChars="200"/>
        <w:rPr>
          <w:rFonts w:eastAsia="Times New Roman"/>
          <w:b/>
          <w:bCs/>
          <w:lang w:val="en-US" w:eastAsia="zh-CN"/>
        </w:rPr>
      </w:pPr>
      <w:r>
        <w:rPr>
          <w:rFonts w:hint="eastAsia" w:eastAsia="Times New Roman"/>
          <w:b/>
          <w:bCs/>
          <w:lang w:val="en-US" w:eastAsia="zh-CN"/>
        </w:rPr>
        <w:t>Observation 1</w:t>
      </w:r>
      <w:r>
        <w:rPr>
          <w:rFonts w:eastAsia="Times New Roman"/>
          <w:b/>
          <w:bCs/>
          <w:lang w:val="en-US" w:eastAsia="zh-CN"/>
        </w:rPr>
        <w:t>1</w:t>
      </w:r>
      <w:r>
        <w:rPr>
          <w:rFonts w:hint="eastAsia" w:eastAsia="Times New Roman"/>
          <w:b/>
          <w:bCs/>
          <w:lang w:val="en-US" w:eastAsia="zh-CN"/>
        </w:rPr>
        <w:t>c, The discussions on interfaces and protocols for 5G</w:t>
      </w:r>
      <w:r>
        <w:rPr>
          <w:rFonts w:eastAsia="Times New Roman"/>
          <w:b/>
          <w:bCs/>
          <w:lang w:val="en-US" w:eastAsia="zh-CN"/>
        </w:rPr>
        <w:t>-</w:t>
      </w:r>
      <w:r>
        <w:rPr>
          <w:rFonts w:hint="eastAsia" w:eastAsia="Times New Roman"/>
          <w:b/>
          <w:bCs/>
          <w:lang w:val="en-US" w:eastAsia="zh-CN"/>
        </w:rPr>
        <w:t>A ISAC differ from those for 6G ISAC due to distinct contextual backgrounds.</w:t>
      </w:r>
    </w:p>
    <w:p w14:paraId="24B4563B">
      <w:pPr>
        <w:ind w:left="400" w:leftChars="200"/>
        <w:rPr>
          <w:rFonts w:eastAsia="Times New Roman"/>
          <w:b/>
          <w:bCs/>
          <w:lang w:val="en-US" w:eastAsia="zh-CN"/>
        </w:rPr>
      </w:pPr>
      <w:r>
        <w:rPr>
          <w:rFonts w:hint="eastAsia" w:eastAsia="Times New Roman"/>
          <w:b/>
          <w:bCs/>
          <w:lang w:val="en-US" w:eastAsia="zh-CN"/>
        </w:rPr>
        <w:t>Observation 1</w:t>
      </w:r>
      <w:r>
        <w:rPr>
          <w:rFonts w:eastAsia="Times New Roman"/>
          <w:b/>
          <w:bCs/>
          <w:lang w:val="en-US" w:eastAsia="zh-CN"/>
        </w:rPr>
        <w:t>1</w:t>
      </w:r>
      <w:r>
        <w:rPr>
          <w:rFonts w:hint="eastAsia" w:eastAsia="Times New Roman"/>
          <w:b/>
          <w:bCs/>
          <w:lang w:val="en-US" w:eastAsia="zh-CN"/>
        </w:rPr>
        <w:t>d, Procedures and signaling aspects are not expected to be addressed by RAN3 in the early stages, thereby avoiding overlap with the 5G</w:t>
      </w:r>
      <w:r>
        <w:rPr>
          <w:rFonts w:eastAsia="Times New Roman"/>
          <w:b/>
          <w:bCs/>
          <w:lang w:val="en-US" w:eastAsia="zh-CN"/>
        </w:rPr>
        <w:t>-</w:t>
      </w:r>
      <w:r>
        <w:rPr>
          <w:rFonts w:hint="eastAsia" w:eastAsia="Times New Roman"/>
          <w:b/>
          <w:bCs/>
          <w:lang w:val="en-US" w:eastAsia="zh-CN"/>
        </w:rPr>
        <w:t>A ISAC discussions.</w:t>
      </w:r>
    </w:p>
    <w:p w14:paraId="77D35E6B">
      <w:pPr>
        <w:ind w:left="400" w:leftChars="200"/>
      </w:pPr>
      <w:r>
        <w:rPr>
          <w:b/>
          <w:bCs/>
          <w:lang w:val="en-US"/>
        </w:rPr>
        <w:t xml:space="preserve">Proposal 11: </w:t>
      </w:r>
      <w:r>
        <w:rPr>
          <w:b/>
          <w:bCs/>
        </w:rPr>
        <w:t>At the early stage of the 6G ISAC study, RAN3 scope may focus on general architecture and interface aspects, while sensing-specific procedure and protocol work should be deferred until sufficient input is available from RAN2 and SA2</w:t>
      </w:r>
      <w:r>
        <w:t>.</w:t>
      </w:r>
    </w:p>
    <w:p w14:paraId="0AAEDB6D">
      <w:pPr>
        <w:pStyle w:val="2"/>
      </w:pPr>
      <w:r>
        <w:t>4</w:t>
      </w:r>
      <w:r>
        <w:tab/>
      </w:r>
      <w:r>
        <w:t>Reference</w:t>
      </w:r>
    </w:p>
    <w:p w14:paraId="25C515D4">
      <w:pPr>
        <w:spacing w:before="240" w:after="240"/>
        <w:rPr>
          <w:lang w:val="en-US"/>
        </w:rPr>
      </w:pPr>
      <w:r>
        <w:rPr>
          <w:lang w:val="en-US"/>
        </w:rPr>
        <w:t>[1] RP-252912, Revised SID: Study on 6G Radio, NTT DOCOMO, CMCC, AT&amp;T, Vodafone, RAN#109, Beijing, China, Sept. 2025.</w:t>
      </w:r>
    </w:p>
    <w:p w14:paraId="14E32CFA">
      <w:pPr>
        <w:spacing w:before="240" w:after="240"/>
        <w:rPr>
          <w:lang w:val="en-US"/>
        </w:rPr>
      </w:pPr>
      <w:r>
        <w:rPr>
          <w:lang w:val="en-US"/>
        </w:rPr>
        <w:t>[2] TR 38.914, Study on 6G Radio Access Network Architecture, 3GPP, Release 20, Sept. 2025.</w:t>
      </w:r>
    </w:p>
    <w:p w14:paraId="6A4126D1">
      <w:pPr>
        <w:spacing w:before="240" w:after="240"/>
        <w:rPr>
          <w:lang w:val="en-US"/>
        </w:rPr>
      </w:pPr>
      <w:r>
        <w:rPr>
          <w:lang w:val="en-US"/>
        </w:rPr>
        <w:t>[3] RP-251861, New SID: Study on Integrated Sensing and Communication (ISAC) for NR, AT&amp;T (Moderator), RAN#108, Prague, Czech Republic, June 2025.</w:t>
      </w:r>
    </w:p>
    <w:p w14:paraId="607B2260">
      <w:pPr>
        <w:spacing w:before="240" w:after="240"/>
        <w:rPr>
          <w:lang w:val="en-US"/>
        </w:rPr>
      </w:pPr>
      <w:r>
        <w:rPr>
          <w:lang w:val="en-US"/>
        </w:rPr>
        <w:t>[4] RAN Plenary#109, Agreement on 6G sensing modes, Meeting notes, Beijing, China, Sept. 2025.</w:t>
      </w:r>
    </w:p>
    <w:p w14:paraId="6EE29FC7">
      <w:pPr>
        <w:spacing w:before="240" w:after="240"/>
        <w:rPr>
          <w:lang w:val="en-US"/>
        </w:rPr>
      </w:pPr>
      <w:r>
        <w:rPr>
          <w:lang w:val="en-US"/>
        </w:rPr>
        <w:t>[5] RP-182155, Revised SID: Study on NR Positioning Support, Intel Corporation, Ericsson, RAN#81, Spokane, USA, Sept. 2018.</w:t>
      </w:r>
    </w:p>
    <w:p w14:paraId="2366ED18">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52335"/>
    <w:multiLevelType w:val="multilevel"/>
    <w:tmpl w:val="0435233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0BC54071"/>
    <w:multiLevelType w:val="multilevel"/>
    <w:tmpl w:val="0BC54071"/>
    <w:lvl w:ilvl="0" w:tentative="0">
      <w:start w:val="2"/>
      <w:numFmt w:val="decimal"/>
      <w:lvlText w:val="%1"/>
      <w:lvlJc w:val="left"/>
      <w:pPr>
        <w:ind w:left="600" w:hanging="600"/>
      </w:pPr>
      <w:rPr>
        <w:rFonts w:hint="default"/>
      </w:rPr>
    </w:lvl>
    <w:lvl w:ilvl="1" w:tentative="0">
      <w:start w:val="2"/>
      <w:numFmt w:val="decimal"/>
      <w:lvlText w:val="%1.%2"/>
      <w:lvlJc w:val="left"/>
      <w:pPr>
        <w:ind w:left="720" w:hanging="720"/>
      </w:pPr>
      <w:rPr>
        <w:rFonts w:hint="default"/>
      </w:rPr>
    </w:lvl>
    <w:lvl w:ilvl="2" w:tentative="0">
      <w:start w:val="6"/>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
    <w:nsid w:val="15260A84"/>
    <w:multiLevelType w:val="multilevel"/>
    <w:tmpl w:val="15260A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27912435"/>
    <w:multiLevelType w:val="multilevel"/>
    <w:tmpl w:val="2791243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5">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ED16D2A"/>
    <w:multiLevelType w:val="multilevel"/>
    <w:tmpl w:val="4ED16D2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57B80256"/>
    <w:multiLevelType w:val="multilevel"/>
    <w:tmpl w:val="57B802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6240FF"/>
    <w:multiLevelType w:val="multilevel"/>
    <w:tmpl w:val="7B6240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8"/>
  </w:num>
  <w:num w:numId="2">
    <w:abstractNumId w:val="5"/>
  </w:num>
  <w:num w:numId="3">
    <w:abstractNumId w:val="4"/>
  </w:num>
  <w:num w:numId="4">
    <w:abstractNumId w:val="2"/>
  </w:num>
  <w:num w:numId="5">
    <w:abstractNumId w:val="3"/>
  </w:num>
  <w:num w:numId="6">
    <w:abstractNumId w:val="7"/>
  </w:num>
  <w:num w:numId="7">
    <w:abstractNumId w:val="1"/>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12D1B"/>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12F6"/>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A7E9D"/>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201D"/>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3B92"/>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4A5F"/>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38A"/>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195"/>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9299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4A42800"/>
    <w:rsid w:val="0538129B"/>
    <w:rsid w:val="05F30C0E"/>
    <w:rsid w:val="078801B7"/>
    <w:rsid w:val="089827F7"/>
    <w:rsid w:val="0A7D0A04"/>
    <w:rsid w:val="0B9659AE"/>
    <w:rsid w:val="0DD877C0"/>
    <w:rsid w:val="0EEB791A"/>
    <w:rsid w:val="0F2F1860"/>
    <w:rsid w:val="10C96F1B"/>
    <w:rsid w:val="116161D4"/>
    <w:rsid w:val="11FA69E3"/>
    <w:rsid w:val="12BD523F"/>
    <w:rsid w:val="144A26DA"/>
    <w:rsid w:val="1460703E"/>
    <w:rsid w:val="18746E67"/>
    <w:rsid w:val="190F3329"/>
    <w:rsid w:val="192C3455"/>
    <w:rsid w:val="19502541"/>
    <w:rsid w:val="19EC349C"/>
    <w:rsid w:val="1CEF0D86"/>
    <w:rsid w:val="1F8765F8"/>
    <w:rsid w:val="1FA952C7"/>
    <w:rsid w:val="1FC7509C"/>
    <w:rsid w:val="1FFB648C"/>
    <w:rsid w:val="219F01E6"/>
    <w:rsid w:val="235A5E8C"/>
    <w:rsid w:val="23901659"/>
    <w:rsid w:val="23A46F6A"/>
    <w:rsid w:val="28D90AB0"/>
    <w:rsid w:val="29803496"/>
    <w:rsid w:val="29956117"/>
    <w:rsid w:val="2B21797E"/>
    <w:rsid w:val="2CBC390B"/>
    <w:rsid w:val="300E2BAA"/>
    <w:rsid w:val="314F32CC"/>
    <w:rsid w:val="329636BC"/>
    <w:rsid w:val="33D1452E"/>
    <w:rsid w:val="34C2742C"/>
    <w:rsid w:val="35041886"/>
    <w:rsid w:val="3B68165F"/>
    <w:rsid w:val="3C606FAD"/>
    <w:rsid w:val="3C9C1A33"/>
    <w:rsid w:val="3D9F3012"/>
    <w:rsid w:val="3DF37185"/>
    <w:rsid w:val="3E3F4BE2"/>
    <w:rsid w:val="3E9D3518"/>
    <w:rsid w:val="3F255260"/>
    <w:rsid w:val="40DA600E"/>
    <w:rsid w:val="440B2AE4"/>
    <w:rsid w:val="4412278D"/>
    <w:rsid w:val="44505224"/>
    <w:rsid w:val="47152E70"/>
    <w:rsid w:val="47C96CD1"/>
    <w:rsid w:val="482A1D2F"/>
    <w:rsid w:val="48636D1F"/>
    <w:rsid w:val="4BEB73D9"/>
    <w:rsid w:val="4D091BE9"/>
    <w:rsid w:val="4D473E82"/>
    <w:rsid w:val="4E7C12BE"/>
    <w:rsid w:val="4EC17902"/>
    <w:rsid w:val="4EF83441"/>
    <w:rsid w:val="502A0E54"/>
    <w:rsid w:val="53193986"/>
    <w:rsid w:val="534A6124"/>
    <w:rsid w:val="53B042EA"/>
    <w:rsid w:val="557B3ACF"/>
    <w:rsid w:val="56A243B3"/>
    <w:rsid w:val="56B707A5"/>
    <w:rsid w:val="571A7F01"/>
    <w:rsid w:val="59584C77"/>
    <w:rsid w:val="5C08300B"/>
    <w:rsid w:val="5E784853"/>
    <w:rsid w:val="5F2D12D6"/>
    <w:rsid w:val="5F4911BC"/>
    <w:rsid w:val="628107E1"/>
    <w:rsid w:val="640843A9"/>
    <w:rsid w:val="64156E86"/>
    <w:rsid w:val="64543F07"/>
    <w:rsid w:val="64FA255C"/>
    <w:rsid w:val="65656FD9"/>
    <w:rsid w:val="665C191E"/>
    <w:rsid w:val="666C3D89"/>
    <w:rsid w:val="67634D4B"/>
    <w:rsid w:val="697957C4"/>
    <w:rsid w:val="6EF51F98"/>
    <w:rsid w:val="6F52088C"/>
    <w:rsid w:val="719A5A6F"/>
    <w:rsid w:val="72064345"/>
    <w:rsid w:val="723B009E"/>
    <w:rsid w:val="72C53ED8"/>
    <w:rsid w:val="73241F63"/>
    <w:rsid w:val="7430495F"/>
    <w:rsid w:val="759A6034"/>
    <w:rsid w:val="78A44781"/>
    <w:rsid w:val="799C1C8B"/>
    <w:rsid w:val="7A04333D"/>
    <w:rsid w:val="7A1B0FF2"/>
    <w:rsid w:val="7AD12E1D"/>
    <w:rsid w:val="7B3F3833"/>
    <w:rsid w:val="7B9243CB"/>
    <w:rsid w:val="7D1F0063"/>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3"/>
    <w:next w:val="1"/>
    <w:link w:val="128"/>
    <w:qFormat/>
    <w:uiPriority w:val="0"/>
    <w:pPr>
      <w:keepNext/>
      <w:keepLines/>
      <w:pBdr>
        <w:top w:val="single" w:color="auto" w:sz="12" w:space="3"/>
      </w:pBdr>
      <w:spacing w:before="240"/>
      <w:ind w:left="1134" w:hanging="1134"/>
      <w:outlineLvl w:val="0"/>
    </w:pPr>
    <w:rPr>
      <w:sz w:val="36"/>
      <w:lang w:eastAsia="en-US"/>
    </w:rPr>
  </w:style>
  <w:style w:type="paragraph" w:styleId="4">
    <w:name w:val="heading 2"/>
    <w:basedOn w:val="1"/>
    <w:next w:val="1"/>
    <w:link w:val="129"/>
    <w:qFormat/>
    <w:uiPriority w:val="0"/>
    <w:pPr>
      <w:spacing w:before="180"/>
      <w:outlineLvl w:val="1"/>
    </w:pPr>
    <w:rPr>
      <w:sz w:val="32"/>
    </w:rPr>
  </w:style>
  <w:style w:type="paragraph" w:styleId="5">
    <w:name w:val="heading 3"/>
    <w:basedOn w:val="1"/>
    <w:next w:val="1"/>
    <w:link w:val="178"/>
    <w:qFormat/>
    <w:uiPriority w:val="0"/>
    <w:pPr>
      <w:spacing w:before="120"/>
      <w:outlineLvl w:val="2"/>
    </w:pPr>
    <w:rPr>
      <w:sz w:val="28"/>
    </w:rPr>
  </w:style>
  <w:style w:type="paragraph" w:styleId="6">
    <w:name w:val="heading 4"/>
    <w:basedOn w:val="1"/>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33"/>
    <w:qFormat/>
    <w:uiPriority w:val="0"/>
    <w:pPr>
      <w:outlineLvl w:val="5"/>
    </w:pPr>
  </w:style>
  <w:style w:type="paragraph" w:styleId="10">
    <w:name w:val="heading 7"/>
    <w:basedOn w:val="9"/>
    <w:next w:val="1"/>
    <w:link w:val="134"/>
    <w:qFormat/>
    <w:uiPriority w:val="0"/>
    <w:pPr>
      <w:outlineLvl w:val="6"/>
    </w:pPr>
  </w:style>
  <w:style w:type="paragraph" w:styleId="11">
    <w:name w:val="heading 8"/>
    <w:basedOn w:val="2"/>
    <w:next w:val="1"/>
    <w:link w:val="135"/>
    <w:qFormat/>
    <w:uiPriority w:val="0"/>
    <w:pPr>
      <w:ind w:left="0" w:firstLine="0"/>
      <w:outlineLvl w:val="7"/>
    </w:pPr>
  </w:style>
  <w:style w:type="paragraph" w:styleId="12">
    <w:name w:val="heading 9"/>
    <w:basedOn w:val="11"/>
    <w:next w:val="1"/>
    <w:link w:val="136"/>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91"/>
    <w:qFormat/>
    <w:uiPriority w:val="0"/>
    <w:pPr>
      <w:widowControl w:val="0"/>
      <w:overflowPunct w:val="0"/>
      <w:autoSpaceDE w:val="0"/>
      <w:autoSpaceDN w:val="0"/>
      <w:adjustRightInd w:val="0"/>
      <w:textAlignment w:val="baseline"/>
    </w:pPr>
    <w:rPr>
      <w:rFonts w:ascii="Arial" w:hAnsi="Arial"/>
      <w:b/>
      <w:sz w:val="18"/>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rPr>
      <w:rFonts w:eastAsiaTheme="minorEastAsia"/>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30">
    <w:name w:val="Document Map"/>
    <w:basedOn w:val="1"/>
    <w:link w:val="94"/>
    <w:qFormat/>
    <w:uiPriority w:val="0"/>
    <w:rPr>
      <w:rFonts w:ascii="Tahoma" w:hAnsi="Tahoma" w:cs="Tahoma"/>
      <w:sz w:val="16"/>
      <w:szCs w:val="16"/>
    </w:rPr>
  </w:style>
  <w:style w:type="paragraph" w:styleId="31">
    <w:name w:val="annotation text"/>
    <w:basedOn w:val="1"/>
    <w:link w:val="124"/>
    <w:qFormat/>
    <w:uiPriority w:val="0"/>
  </w:style>
  <w:style w:type="paragraph" w:styleId="32">
    <w:name w:val="Body Text"/>
    <w:basedOn w:val="1"/>
    <w:link w:val="161"/>
    <w:qFormat/>
    <w:uiPriority w:val="0"/>
    <w:pPr>
      <w:spacing w:after="120"/>
    </w:pPr>
  </w:style>
  <w:style w:type="paragraph" w:styleId="33">
    <w:name w:val="List Bullet 5"/>
    <w:basedOn w:val="25"/>
    <w:qFormat/>
    <w:uiPriority w:val="0"/>
    <w:pPr>
      <w:ind w:left="1702"/>
    </w:pPr>
  </w:style>
  <w:style w:type="paragraph" w:styleId="34">
    <w:name w:val="toc 8"/>
    <w:basedOn w:val="22"/>
    <w:qFormat/>
    <w:uiPriority w:val="39"/>
    <w:pPr>
      <w:spacing w:before="180"/>
      <w:ind w:left="2693" w:hanging="2693"/>
    </w:pPr>
    <w:rPr>
      <w:b/>
    </w:rPr>
  </w:style>
  <w:style w:type="paragraph" w:styleId="35">
    <w:name w:val="Balloon Text"/>
    <w:basedOn w:val="1"/>
    <w:link w:val="115"/>
    <w:semiHidden/>
    <w:unhideWhenUsed/>
    <w:qFormat/>
    <w:uiPriority w:val="0"/>
    <w:pPr>
      <w:spacing w:after="0"/>
    </w:pPr>
    <w:rPr>
      <w:rFonts w:ascii="Microsoft YaHei UI" w:eastAsia="Microsoft YaHei UI"/>
      <w:sz w:val="18"/>
      <w:szCs w:val="18"/>
    </w:rPr>
  </w:style>
  <w:style w:type="paragraph" w:styleId="36">
    <w:name w:val="footer"/>
    <w:basedOn w:val="3"/>
    <w:link w:val="137"/>
    <w:qFormat/>
    <w:uiPriority w:val="0"/>
    <w:pPr>
      <w:jc w:val="center"/>
    </w:pPr>
    <w:rPr>
      <w:i/>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4"/>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1"/>
    <w:next w:val="31"/>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页眉 字符"/>
    <w:link w:val="3"/>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文档结构图 字符"/>
    <w:link w:val="30"/>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列表段落 字符"/>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批注框文本 字符"/>
    <w:basedOn w:val="47"/>
    <w:link w:val="35"/>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批注文字 字符"/>
    <w:basedOn w:val="47"/>
    <w:link w:val="31"/>
    <w:qFormat/>
    <w:uiPriority w:val="0"/>
    <w:rPr>
      <w:lang w:val="en-GB" w:eastAsia="en-US"/>
    </w:rPr>
  </w:style>
  <w:style w:type="character" w:customStyle="1" w:styleId="125">
    <w:name w:val="批注主题 字符"/>
    <w:basedOn w:val="124"/>
    <w:link w:val="44"/>
    <w:qFormat/>
    <w:uiPriority w:val="0"/>
    <w:rPr>
      <w:b/>
      <w:bCs/>
      <w:lang w:val="en-GB" w:eastAsia="en-US"/>
    </w:rPr>
  </w:style>
  <w:style w:type="character" w:customStyle="1" w:styleId="126">
    <w:name w:val="脚注文本 字符"/>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标题 1 字符"/>
    <w:basedOn w:val="47"/>
    <w:link w:val="2"/>
    <w:qFormat/>
    <w:uiPriority w:val="0"/>
    <w:rPr>
      <w:rFonts w:ascii="Arial" w:hAnsi="Arial"/>
      <w:sz w:val="36"/>
      <w:lang w:val="en-GB" w:eastAsia="en-US"/>
    </w:rPr>
  </w:style>
  <w:style w:type="character" w:customStyle="1" w:styleId="129">
    <w:name w:val="标题 2 字符"/>
    <w:basedOn w:val="47"/>
    <w:link w:val="4"/>
    <w:qFormat/>
    <w:uiPriority w:val="0"/>
    <w:rPr>
      <w:rFonts w:ascii="Arial" w:hAnsi="Arial"/>
      <w:sz w:val="32"/>
      <w:lang w:val="en-GB" w:eastAsia="en-US"/>
    </w:rPr>
  </w:style>
  <w:style w:type="character" w:customStyle="1" w:styleId="130">
    <w:name w:val="Heading 3 Char"/>
    <w:basedOn w:val="47"/>
    <w:qFormat/>
    <w:uiPriority w:val="0"/>
    <w:rPr>
      <w:rFonts w:ascii="Arial" w:hAnsi="Arial"/>
      <w:sz w:val="28"/>
      <w:lang w:val="en-GB" w:eastAsia="en-US"/>
    </w:rPr>
  </w:style>
  <w:style w:type="character" w:customStyle="1" w:styleId="131">
    <w:name w:val="标题 4 字符"/>
    <w:basedOn w:val="47"/>
    <w:link w:val="6"/>
    <w:qFormat/>
    <w:uiPriority w:val="0"/>
    <w:rPr>
      <w:rFonts w:ascii="Arial" w:hAnsi="Arial"/>
      <w:sz w:val="24"/>
      <w:lang w:val="en-GB" w:eastAsia="en-US"/>
    </w:rPr>
  </w:style>
  <w:style w:type="character" w:customStyle="1" w:styleId="132">
    <w:name w:val="标题 5 字符"/>
    <w:basedOn w:val="47"/>
    <w:link w:val="7"/>
    <w:qFormat/>
    <w:uiPriority w:val="0"/>
    <w:rPr>
      <w:rFonts w:ascii="Arial" w:hAnsi="Arial"/>
      <w:sz w:val="22"/>
      <w:lang w:val="en-GB" w:eastAsia="en-US"/>
    </w:rPr>
  </w:style>
  <w:style w:type="character" w:customStyle="1" w:styleId="133">
    <w:name w:val="标题 6 字符"/>
    <w:basedOn w:val="47"/>
    <w:link w:val="8"/>
    <w:qFormat/>
    <w:uiPriority w:val="0"/>
    <w:rPr>
      <w:rFonts w:ascii="Arial" w:hAnsi="Arial"/>
      <w:lang w:val="en-GB" w:eastAsia="en-US"/>
    </w:rPr>
  </w:style>
  <w:style w:type="character" w:customStyle="1" w:styleId="134">
    <w:name w:val="标题 7 字符"/>
    <w:basedOn w:val="47"/>
    <w:link w:val="10"/>
    <w:qFormat/>
    <w:uiPriority w:val="0"/>
    <w:rPr>
      <w:rFonts w:ascii="Arial" w:hAnsi="Arial"/>
      <w:lang w:val="en-GB" w:eastAsia="en-US"/>
    </w:rPr>
  </w:style>
  <w:style w:type="character" w:customStyle="1" w:styleId="135">
    <w:name w:val="标题 8 字符"/>
    <w:basedOn w:val="47"/>
    <w:link w:val="11"/>
    <w:qFormat/>
    <w:uiPriority w:val="0"/>
    <w:rPr>
      <w:rFonts w:ascii="Arial" w:hAnsi="Arial"/>
      <w:sz w:val="36"/>
      <w:lang w:val="en-GB" w:eastAsia="en-US"/>
    </w:rPr>
  </w:style>
  <w:style w:type="character" w:customStyle="1" w:styleId="136">
    <w:name w:val="标题 9 字符"/>
    <w:basedOn w:val="47"/>
    <w:link w:val="12"/>
    <w:qFormat/>
    <w:uiPriority w:val="0"/>
    <w:rPr>
      <w:rFonts w:ascii="Arial" w:hAnsi="Arial"/>
      <w:sz w:val="36"/>
      <w:lang w:val="en-GB" w:eastAsia="en-US"/>
    </w:rPr>
  </w:style>
  <w:style w:type="character" w:customStyle="1" w:styleId="137">
    <w:name w:val="页脚 字符"/>
    <w:basedOn w:val="47"/>
    <w:link w:val="36"/>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2"/>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正文文本 字符"/>
    <w:basedOn w:val="47"/>
    <w:link w:val="32"/>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1"/>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paragraph" w:customStyle="1" w:styleId="177">
    <w:name w:val="Obs-prop"/>
    <w:basedOn w:val="1"/>
    <w:next w:val="1"/>
    <w:qFormat/>
    <w:uiPriority w:val="0"/>
    <w:pPr>
      <w:spacing w:after="160"/>
    </w:pPr>
    <w:rPr>
      <w:rFonts w:eastAsiaTheme="minorHAnsi" w:cstheme="minorBidi"/>
      <w:b/>
      <w:bCs/>
      <w:szCs w:val="22"/>
    </w:rPr>
  </w:style>
  <w:style w:type="character" w:customStyle="1" w:styleId="178">
    <w:name w:val="标题 3 字符"/>
    <w:basedOn w:val="47"/>
    <w:link w:val="5"/>
    <w:qFormat/>
    <w:uiPriority w:val="9"/>
    <w:rPr>
      <w:color w:val="434343"/>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9</Pages>
  <Words>2759</Words>
  <Characters>16821</Characters>
  <Lines>203</Lines>
  <Paragraphs>57</Paragraphs>
  <TotalTime>10</TotalTime>
  <ScaleCrop>false</ScaleCrop>
  <LinksUpToDate>false</LinksUpToDate>
  <CharactersWithSpaces>19479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2025-10-02T18:03:00Z</dcterms:created>
  <dc:creator>Xiaomi-Lisi</dc:creator>
  <cp:lastModifiedBy>Xiaomi-Lisi</cp:lastModifiedBy>
  <dcterms:modified xsi:type="dcterms:W3CDTF">2025-10-03T03:00:30Z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2052-12.1.0.22529</vt:lpwstr>
  </property>
  <property fmtid="{D5CDD505-2E9C-101B-9397-08002B2CF9AE}" pid="6" name="ICV">
    <vt:lpwstr>3A22242EFEA04108812FA139F0A2837B_13</vt:lpwstr>
  </property>
  <property fmtid="{D5CDD505-2E9C-101B-9397-08002B2CF9AE}" pid="7" name="CWM134e80a09da211f080004f0700004f07">
    <vt:lpwstr>CWMOa/PT01iQ5oF88EjG4BVc5Yr7kc/GwVgttW0ik3Cnpt8ra50aK1MRxsZ0Tp2U8N0QwSgbu02GG7srJmzYy/MeA==</vt:lpwstr>
  </property>
  <property fmtid="{D5CDD505-2E9C-101B-9397-08002B2CF9AE}" pid="8" name="CWM74c69bd09fb711f080000fcd00000fcd">
    <vt:lpwstr>CWMZGkkHJjoGGR9EP6da2OsZKqYcQ66i+Mva5sjicl3xcQNyIzC8c8Ogx5zGVKFYF6PYxa4DCoe+nHZnVw5z6gkWQ==</vt:lpwstr>
  </property>
</Properties>
</file>